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1A2" w:rsidRPr="00583A78" w:rsidRDefault="008221A2" w:rsidP="002C3AF5">
      <w:pPr>
        <w:jc w:val="center"/>
        <w:rPr>
          <w:b/>
          <w:szCs w:val="28"/>
        </w:rPr>
      </w:pPr>
      <w:r w:rsidRPr="00583A78">
        <w:rPr>
          <w:b/>
          <w:szCs w:val="28"/>
        </w:rPr>
        <w:t>BẢNG TỔNG HỢP Ý KIẾN GÓP Ý</w:t>
      </w:r>
    </w:p>
    <w:p w:rsidR="00BE0B2D" w:rsidRPr="00583A78" w:rsidRDefault="008221A2" w:rsidP="002C3AF5">
      <w:pPr>
        <w:jc w:val="center"/>
        <w:rPr>
          <w:b/>
          <w:szCs w:val="28"/>
        </w:rPr>
      </w:pPr>
      <w:r w:rsidRPr="00583A78">
        <w:rPr>
          <w:b/>
          <w:szCs w:val="28"/>
        </w:rPr>
        <w:t xml:space="preserve"> </w:t>
      </w:r>
      <w:r w:rsidR="00BE0B2D" w:rsidRPr="00583A78">
        <w:rPr>
          <w:b/>
          <w:szCs w:val="28"/>
        </w:rPr>
        <w:t>Về việc</w:t>
      </w:r>
      <w:r w:rsidR="00D159ED" w:rsidRPr="00583A78">
        <w:rPr>
          <w:b/>
          <w:szCs w:val="28"/>
        </w:rPr>
        <w:t xml:space="preserve"> bàn hành</w:t>
      </w:r>
      <w:r w:rsidR="00BE0B2D" w:rsidRPr="00583A78">
        <w:rPr>
          <w:b/>
          <w:szCs w:val="28"/>
        </w:rPr>
        <w:t xml:space="preserve"> </w:t>
      </w:r>
      <w:r w:rsidR="00D159ED" w:rsidRPr="00583A78">
        <w:rPr>
          <w:b/>
          <w:szCs w:val="28"/>
        </w:rPr>
        <w:t>Nghị quyết thay thế Nghị quyết số 15/2014/NQ-HĐND</w:t>
      </w:r>
      <w:r w:rsidR="001D7B45" w:rsidRPr="00583A78">
        <w:rPr>
          <w:b/>
          <w:szCs w:val="28"/>
        </w:rPr>
        <w:t xml:space="preserve"> </w:t>
      </w:r>
      <w:r w:rsidR="001D7B45" w:rsidRPr="00583A78">
        <w:rPr>
          <w:szCs w:val="28"/>
        </w:rPr>
        <w:t>(Lần 1)</w:t>
      </w:r>
    </w:p>
    <w:p w:rsidR="008221A2" w:rsidRPr="00583A78" w:rsidRDefault="00D159ED" w:rsidP="002C3AF5">
      <w:pPr>
        <w:jc w:val="center"/>
        <w:rPr>
          <w:szCs w:val="28"/>
        </w:rPr>
      </w:pPr>
      <w:r w:rsidRPr="00583A78">
        <w:rPr>
          <w:noProof/>
          <w:szCs w:val="28"/>
        </w:rPr>
        <mc:AlternateContent>
          <mc:Choice Requires="wps">
            <w:drawing>
              <wp:anchor distT="0" distB="0" distL="114300" distR="114300" simplePos="0" relativeHeight="251659264" behindDoc="0" locked="0" layoutInCell="1" allowOverlap="1" wp14:anchorId="3E460224" wp14:editId="1ECCE2BE">
                <wp:simplePos x="0" y="0"/>
                <wp:positionH relativeFrom="column">
                  <wp:posOffset>3202305</wp:posOffset>
                </wp:positionH>
                <wp:positionV relativeFrom="paragraph">
                  <wp:posOffset>36830</wp:posOffset>
                </wp:positionV>
                <wp:extent cx="3124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124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2.15pt,2.9pt" to="498.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" strokecolor="#4579b8 [3044]"/>
            </w:pict>
          </mc:Fallback>
        </mc:AlternateContent>
      </w:r>
      <w:r w:rsidR="00BE0B2D" w:rsidRPr="00583A78">
        <w:rPr>
          <w:i/>
          <w:szCs w:val="28"/>
        </w:rPr>
        <w:t xml:space="preserve"> </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1857"/>
        <w:gridCol w:w="2127"/>
        <w:gridCol w:w="1683"/>
        <w:gridCol w:w="8525"/>
      </w:tblGrid>
      <w:tr w:rsidR="00EE0E31" w:rsidRPr="00583A78" w:rsidTr="00A337CB">
        <w:tc>
          <w:tcPr>
            <w:tcW w:w="550" w:type="dxa"/>
            <w:tcBorders>
              <w:top w:val="single" w:sz="4" w:space="0" w:color="auto"/>
              <w:left w:val="single" w:sz="4" w:space="0" w:color="auto"/>
              <w:bottom w:val="single" w:sz="4" w:space="0" w:color="auto"/>
              <w:right w:val="single" w:sz="4" w:space="0" w:color="auto"/>
            </w:tcBorders>
            <w:vAlign w:val="center"/>
            <w:hideMark/>
          </w:tcPr>
          <w:p w:rsidR="00EE0E31" w:rsidRPr="00583A78" w:rsidRDefault="00EE0E31" w:rsidP="002C3AF5">
            <w:pPr>
              <w:jc w:val="center"/>
              <w:rPr>
                <w:b/>
                <w:szCs w:val="28"/>
              </w:rPr>
            </w:pPr>
            <w:r w:rsidRPr="00583A78">
              <w:rPr>
                <w:b/>
                <w:szCs w:val="28"/>
              </w:rPr>
              <w:t>Stt</w:t>
            </w:r>
          </w:p>
        </w:tc>
        <w:tc>
          <w:tcPr>
            <w:tcW w:w="1857" w:type="dxa"/>
            <w:tcBorders>
              <w:top w:val="single" w:sz="4" w:space="0" w:color="auto"/>
              <w:left w:val="single" w:sz="4" w:space="0" w:color="auto"/>
              <w:bottom w:val="single" w:sz="4" w:space="0" w:color="auto"/>
              <w:right w:val="single" w:sz="4" w:space="0" w:color="auto"/>
            </w:tcBorders>
            <w:vAlign w:val="center"/>
            <w:hideMark/>
          </w:tcPr>
          <w:p w:rsidR="00EE0E31" w:rsidRPr="00583A78" w:rsidRDefault="00EE0E31" w:rsidP="002C3AF5">
            <w:pPr>
              <w:jc w:val="center"/>
              <w:rPr>
                <w:b/>
                <w:szCs w:val="28"/>
              </w:rPr>
            </w:pPr>
            <w:r w:rsidRPr="00583A78">
              <w:rPr>
                <w:b/>
                <w:szCs w:val="28"/>
              </w:rPr>
              <w:t>Đơn vị góp ý</w:t>
            </w:r>
          </w:p>
        </w:tc>
        <w:tc>
          <w:tcPr>
            <w:tcW w:w="2127" w:type="dxa"/>
            <w:tcBorders>
              <w:top w:val="single" w:sz="4" w:space="0" w:color="auto"/>
              <w:left w:val="single" w:sz="4" w:space="0" w:color="auto"/>
              <w:bottom w:val="single" w:sz="4" w:space="0" w:color="auto"/>
              <w:right w:val="single" w:sz="4" w:space="0" w:color="auto"/>
            </w:tcBorders>
            <w:vAlign w:val="center"/>
            <w:hideMark/>
          </w:tcPr>
          <w:p w:rsidR="00EE0E31" w:rsidRPr="00583A78" w:rsidRDefault="00EE0E31" w:rsidP="002C3AF5">
            <w:pPr>
              <w:jc w:val="center"/>
              <w:rPr>
                <w:b/>
                <w:szCs w:val="28"/>
              </w:rPr>
            </w:pPr>
            <w:r w:rsidRPr="00583A78">
              <w:rPr>
                <w:b/>
                <w:szCs w:val="28"/>
              </w:rPr>
              <w:t>Số văn bản</w:t>
            </w:r>
          </w:p>
        </w:tc>
        <w:tc>
          <w:tcPr>
            <w:tcW w:w="1683" w:type="dxa"/>
            <w:tcBorders>
              <w:top w:val="single" w:sz="4" w:space="0" w:color="auto"/>
              <w:left w:val="single" w:sz="4" w:space="0" w:color="auto"/>
              <w:bottom w:val="single" w:sz="4" w:space="0" w:color="auto"/>
              <w:right w:val="single" w:sz="4" w:space="0" w:color="auto"/>
            </w:tcBorders>
            <w:vAlign w:val="center"/>
            <w:hideMark/>
          </w:tcPr>
          <w:p w:rsidR="00EE0E31" w:rsidRPr="00583A78" w:rsidRDefault="00EE0E31" w:rsidP="002C3AF5">
            <w:pPr>
              <w:jc w:val="center"/>
              <w:rPr>
                <w:b/>
                <w:szCs w:val="28"/>
              </w:rPr>
            </w:pPr>
            <w:r w:rsidRPr="00583A78">
              <w:rPr>
                <w:b/>
                <w:szCs w:val="28"/>
              </w:rPr>
              <w:t>Ngày ban hành</w:t>
            </w:r>
          </w:p>
        </w:tc>
        <w:tc>
          <w:tcPr>
            <w:tcW w:w="8525" w:type="dxa"/>
            <w:tcBorders>
              <w:top w:val="single" w:sz="4" w:space="0" w:color="auto"/>
              <w:left w:val="single" w:sz="4" w:space="0" w:color="auto"/>
              <w:bottom w:val="single" w:sz="4" w:space="0" w:color="auto"/>
              <w:right w:val="single" w:sz="4" w:space="0" w:color="auto"/>
            </w:tcBorders>
            <w:vAlign w:val="center"/>
            <w:hideMark/>
          </w:tcPr>
          <w:p w:rsidR="00EE0E31" w:rsidRPr="00583A78" w:rsidRDefault="00CF00E1" w:rsidP="002C3AF5">
            <w:pPr>
              <w:jc w:val="center"/>
              <w:rPr>
                <w:b/>
                <w:szCs w:val="28"/>
              </w:rPr>
            </w:pPr>
            <w:r w:rsidRPr="00583A78">
              <w:rPr>
                <w:b/>
                <w:szCs w:val="28"/>
              </w:rPr>
              <w:t>Nội dung góp ý</w:t>
            </w:r>
          </w:p>
        </w:tc>
      </w:tr>
      <w:tr w:rsidR="00EE0E31" w:rsidRPr="00583A78" w:rsidTr="00426E6A">
        <w:tc>
          <w:tcPr>
            <w:tcW w:w="550" w:type="dxa"/>
            <w:tcBorders>
              <w:top w:val="single" w:sz="4" w:space="0" w:color="auto"/>
              <w:left w:val="single" w:sz="4" w:space="0" w:color="auto"/>
              <w:bottom w:val="single" w:sz="4" w:space="0" w:color="auto"/>
              <w:right w:val="single" w:sz="4" w:space="0" w:color="auto"/>
            </w:tcBorders>
            <w:vAlign w:val="center"/>
            <w:hideMark/>
          </w:tcPr>
          <w:p w:rsidR="00EE0E31" w:rsidRPr="00583A78" w:rsidRDefault="00EE0E31" w:rsidP="002C3AF5">
            <w:pPr>
              <w:jc w:val="center"/>
              <w:rPr>
                <w:szCs w:val="28"/>
              </w:rPr>
            </w:pPr>
            <w:r w:rsidRPr="00583A78">
              <w:rPr>
                <w:szCs w:val="28"/>
              </w:rPr>
              <w:t>1</w:t>
            </w:r>
          </w:p>
        </w:tc>
        <w:tc>
          <w:tcPr>
            <w:tcW w:w="1857" w:type="dxa"/>
            <w:tcBorders>
              <w:top w:val="single" w:sz="4" w:space="0" w:color="auto"/>
              <w:left w:val="single" w:sz="4" w:space="0" w:color="auto"/>
              <w:bottom w:val="single" w:sz="4" w:space="0" w:color="auto"/>
              <w:right w:val="single" w:sz="4" w:space="0" w:color="auto"/>
            </w:tcBorders>
            <w:vAlign w:val="center"/>
            <w:hideMark/>
          </w:tcPr>
          <w:p w:rsidR="00EE0E31" w:rsidRPr="00583A78" w:rsidRDefault="00EE0E31" w:rsidP="002C3AF5">
            <w:pPr>
              <w:jc w:val="center"/>
              <w:rPr>
                <w:szCs w:val="28"/>
              </w:rPr>
            </w:pPr>
            <w:r w:rsidRPr="00583A78">
              <w:rPr>
                <w:color w:val="000000"/>
                <w:szCs w:val="28"/>
              </w:rPr>
              <w:t>Sở Tài chính</w:t>
            </w:r>
          </w:p>
        </w:tc>
        <w:tc>
          <w:tcPr>
            <w:tcW w:w="2127" w:type="dxa"/>
            <w:tcBorders>
              <w:top w:val="single" w:sz="4" w:space="0" w:color="auto"/>
              <w:left w:val="single" w:sz="4" w:space="0" w:color="auto"/>
              <w:bottom w:val="single" w:sz="4" w:space="0" w:color="auto"/>
              <w:right w:val="single" w:sz="4" w:space="0" w:color="auto"/>
            </w:tcBorders>
            <w:vAlign w:val="center"/>
            <w:hideMark/>
          </w:tcPr>
          <w:p w:rsidR="00EE0E31" w:rsidRPr="00583A78" w:rsidRDefault="00D15872" w:rsidP="002C3AF5">
            <w:pPr>
              <w:jc w:val="center"/>
              <w:rPr>
                <w:szCs w:val="28"/>
              </w:rPr>
            </w:pPr>
            <w:r w:rsidRPr="00583A78">
              <w:rPr>
                <w:color w:val="000000"/>
                <w:szCs w:val="28"/>
              </w:rPr>
              <w:t>1392</w:t>
            </w:r>
            <w:r w:rsidR="00EE0E31" w:rsidRPr="00583A78">
              <w:rPr>
                <w:color w:val="000000"/>
                <w:szCs w:val="28"/>
              </w:rPr>
              <w:t>/STC-QLNS</w:t>
            </w:r>
          </w:p>
        </w:tc>
        <w:tc>
          <w:tcPr>
            <w:tcW w:w="1683" w:type="dxa"/>
            <w:tcBorders>
              <w:top w:val="single" w:sz="4" w:space="0" w:color="auto"/>
              <w:left w:val="single" w:sz="4" w:space="0" w:color="auto"/>
              <w:bottom w:val="single" w:sz="4" w:space="0" w:color="auto"/>
              <w:right w:val="single" w:sz="4" w:space="0" w:color="auto"/>
            </w:tcBorders>
            <w:vAlign w:val="center"/>
          </w:tcPr>
          <w:p w:rsidR="00EE0E31" w:rsidRPr="00583A78" w:rsidRDefault="00D15872" w:rsidP="002C3AF5">
            <w:pPr>
              <w:jc w:val="center"/>
              <w:rPr>
                <w:color w:val="000000"/>
                <w:szCs w:val="28"/>
              </w:rPr>
            </w:pPr>
            <w:r w:rsidRPr="00583A78">
              <w:rPr>
                <w:color w:val="000000"/>
                <w:szCs w:val="28"/>
              </w:rPr>
              <w:t>03</w:t>
            </w:r>
            <w:r w:rsidR="00EE0E31" w:rsidRPr="00583A78">
              <w:rPr>
                <w:color w:val="000000"/>
                <w:szCs w:val="28"/>
              </w:rPr>
              <w:t>/</w:t>
            </w:r>
            <w:r w:rsidRPr="00583A78">
              <w:rPr>
                <w:color w:val="000000"/>
                <w:szCs w:val="28"/>
              </w:rPr>
              <w:t>7</w:t>
            </w:r>
            <w:r w:rsidR="00EE0E31" w:rsidRPr="00583A78">
              <w:rPr>
                <w:color w:val="000000"/>
                <w:szCs w:val="28"/>
              </w:rPr>
              <w:t>/20</w:t>
            </w:r>
            <w:r w:rsidRPr="00583A78">
              <w:rPr>
                <w:color w:val="000000"/>
                <w:szCs w:val="28"/>
              </w:rPr>
              <w:t>20</w:t>
            </w:r>
          </w:p>
        </w:tc>
        <w:tc>
          <w:tcPr>
            <w:tcW w:w="8525" w:type="dxa"/>
            <w:tcBorders>
              <w:top w:val="single" w:sz="4" w:space="0" w:color="auto"/>
              <w:left w:val="single" w:sz="4" w:space="0" w:color="auto"/>
              <w:bottom w:val="single" w:sz="4" w:space="0" w:color="auto"/>
              <w:right w:val="single" w:sz="4" w:space="0" w:color="auto"/>
            </w:tcBorders>
            <w:vAlign w:val="center"/>
            <w:hideMark/>
          </w:tcPr>
          <w:p w:rsidR="00EE0E31" w:rsidRPr="00583A78" w:rsidRDefault="00D15872" w:rsidP="002C3AF5">
            <w:pPr>
              <w:jc w:val="both"/>
              <w:rPr>
                <w:szCs w:val="28"/>
              </w:rPr>
            </w:pPr>
            <w:r w:rsidRPr="00583A78">
              <w:rPr>
                <w:szCs w:val="28"/>
              </w:rPr>
              <w:t>1. Nghị quyết số 15/2014/NQ-HĐND ngày 16/7/2014 của Hội đồng nhân dân tỉnh nhằm hỗ trợ đào tạo lao động kỹ thuật trình độ trung cấp nghề trở lên và giáo viên dạy nghề tại các cơ sở dạy nghề công lập trên địa bàn tỉnh trong giai đoạn 2014-2020, đây là chính sách đặc thù của tỉnh. Do đó, việc xây dựng Nghị quyết về chính sách này cho giai đoạn tiếp theo đề nghị Sở Lao động – Thương binh và Xã hội thực hiện theo đúng quy định tại Chương VIII của Luật Ban hành văn bản quy phạm pháp luật 2015 và các văn bản hướng dẫn có liên quan.</w:t>
            </w:r>
          </w:p>
          <w:p w:rsidR="009E6B9E" w:rsidRPr="00583A78" w:rsidRDefault="005E1F4E" w:rsidP="002C3AF5">
            <w:pPr>
              <w:jc w:val="both"/>
              <w:rPr>
                <w:szCs w:val="28"/>
              </w:rPr>
            </w:pPr>
            <w:r>
              <w:rPr>
                <w:b/>
                <w:i/>
                <w:szCs w:val="28"/>
                <w:u w:val="single"/>
              </w:rPr>
              <w:t>Giải trình:</w:t>
            </w:r>
            <w:r w:rsidR="009E6B9E" w:rsidRPr="00583A78">
              <w:rPr>
                <w:b/>
                <w:i/>
                <w:szCs w:val="28"/>
                <w:u w:val="single"/>
              </w:rPr>
              <w:t xml:space="preserve"> </w:t>
            </w:r>
            <w:r w:rsidR="009E6B9E" w:rsidRPr="00583A78">
              <w:rPr>
                <w:szCs w:val="28"/>
              </w:rPr>
              <w:t>Cơ quan soạn thảo tiếp thu, hoàn chỉnh theo đề nghị.</w:t>
            </w:r>
          </w:p>
        </w:tc>
      </w:tr>
      <w:tr w:rsidR="00EE0E31" w:rsidRPr="00583A78" w:rsidTr="00426E6A">
        <w:tc>
          <w:tcPr>
            <w:tcW w:w="550" w:type="dxa"/>
            <w:tcBorders>
              <w:top w:val="single" w:sz="4" w:space="0" w:color="auto"/>
              <w:left w:val="single" w:sz="4" w:space="0" w:color="auto"/>
              <w:bottom w:val="single" w:sz="4" w:space="0" w:color="auto"/>
              <w:right w:val="single" w:sz="4" w:space="0" w:color="auto"/>
            </w:tcBorders>
            <w:vAlign w:val="center"/>
          </w:tcPr>
          <w:p w:rsidR="00EE0E31" w:rsidRPr="00583A78" w:rsidRDefault="00EE0E31" w:rsidP="002C3AF5">
            <w:pPr>
              <w:jc w:val="center"/>
              <w:rPr>
                <w:szCs w:val="28"/>
              </w:rPr>
            </w:pPr>
            <w:r w:rsidRPr="00583A78">
              <w:rPr>
                <w:szCs w:val="28"/>
              </w:rPr>
              <w:t>2</w:t>
            </w:r>
          </w:p>
        </w:tc>
        <w:tc>
          <w:tcPr>
            <w:tcW w:w="1857" w:type="dxa"/>
            <w:tcBorders>
              <w:top w:val="single" w:sz="4" w:space="0" w:color="auto"/>
              <w:left w:val="single" w:sz="4" w:space="0" w:color="auto"/>
              <w:bottom w:val="single" w:sz="4" w:space="0" w:color="auto"/>
              <w:right w:val="single" w:sz="4" w:space="0" w:color="auto"/>
            </w:tcBorders>
            <w:vAlign w:val="center"/>
          </w:tcPr>
          <w:p w:rsidR="00EE0E31" w:rsidRPr="00583A78" w:rsidRDefault="00EE0E31" w:rsidP="002C3AF5">
            <w:pPr>
              <w:jc w:val="center"/>
              <w:rPr>
                <w:color w:val="000000"/>
                <w:szCs w:val="28"/>
              </w:rPr>
            </w:pPr>
            <w:r w:rsidRPr="00583A78">
              <w:rPr>
                <w:color w:val="000000"/>
                <w:szCs w:val="28"/>
              </w:rPr>
              <w:t>Sở Tư pháp</w:t>
            </w:r>
          </w:p>
        </w:tc>
        <w:tc>
          <w:tcPr>
            <w:tcW w:w="2127" w:type="dxa"/>
            <w:tcBorders>
              <w:top w:val="single" w:sz="4" w:space="0" w:color="auto"/>
              <w:left w:val="single" w:sz="4" w:space="0" w:color="auto"/>
              <w:bottom w:val="single" w:sz="4" w:space="0" w:color="auto"/>
              <w:right w:val="single" w:sz="4" w:space="0" w:color="auto"/>
            </w:tcBorders>
            <w:vAlign w:val="center"/>
          </w:tcPr>
          <w:p w:rsidR="00EE0E31" w:rsidRPr="00583A78" w:rsidRDefault="00891E30" w:rsidP="002C3AF5">
            <w:pPr>
              <w:jc w:val="center"/>
              <w:rPr>
                <w:color w:val="000000"/>
                <w:szCs w:val="28"/>
              </w:rPr>
            </w:pPr>
            <w:r w:rsidRPr="00583A78">
              <w:rPr>
                <w:color w:val="000000"/>
                <w:szCs w:val="28"/>
              </w:rPr>
              <w:t>654</w:t>
            </w:r>
            <w:r w:rsidR="00EE0E31" w:rsidRPr="00583A78">
              <w:rPr>
                <w:color w:val="000000"/>
                <w:szCs w:val="28"/>
              </w:rPr>
              <w:t>/STP-VBPBPL.</w:t>
            </w:r>
          </w:p>
        </w:tc>
        <w:tc>
          <w:tcPr>
            <w:tcW w:w="1683" w:type="dxa"/>
            <w:tcBorders>
              <w:top w:val="single" w:sz="4" w:space="0" w:color="auto"/>
              <w:left w:val="single" w:sz="4" w:space="0" w:color="auto"/>
              <w:bottom w:val="single" w:sz="4" w:space="0" w:color="auto"/>
              <w:right w:val="single" w:sz="4" w:space="0" w:color="auto"/>
            </w:tcBorders>
            <w:vAlign w:val="center"/>
          </w:tcPr>
          <w:p w:rsidR="00EE0E31" w:rsidRPr="00583A78" w:rsidRDefault="00891E30" w:rsidP="002C3AF5">
            <w:pPr>
              <w:jc w:val="center"/>
              <w:rPr>
                <w:color w:val="000000"/>
                <w:szCs w:val="28"/>
              </w:rPr>
            </w:pPr>
            <w:r w:rsidRPr="00583A78">
              <w:rPr>
                <w:color w:val="000000"/>
                <w:szCs w:val="28"/>
              </w:rPr>
              <w:t>30/6/2020</w:t>
            </w:r>
          </w:p>
        </w:tc>
        <w:tc>
          <w:tcPr>
            <w:tcW w:w="8525" w:type="dxa"/>
            <w:tcBorders>
              <w:top w:val="single" w:sz="4" w:space="0" w:color="auto"/>
              <w:left w:val="single" w:sz="4" w:space="0" w:color="auto"/>
              <w:bottom w:val="single" w:sz="4" w:space="0" w:color="auto"/>
              <w:right w:val="single" w:sz="4" w:space="0" w:color="auto"/>
            </w:tcBorders>
            <w:vAlign w:val="center"/>
          </w:tcPr>
          <w:p w:rsidR="00891E30" w:rsidRPr="00583A78" w:rsidRDefault="00891E30" w:rsidP="002C3AF5">
            <w:pPr>
              <w:jc w:val="both"/>
              <w:rPr>
                <w:color w:val="000000"/>
                <w:szCs w:val="28"/>
                <w:lang w:val="pt-BR"/>
              </w:rPr>
            </w:pPr>
            <w:r w:rsidRPr="00583A78">
              <w:rPr>
                <w:color w:val="000000"/>
                <w:szCs w:val="28"/>
                <w:lang w:val="pt-BR"/>
              </w:rPr>
              <w:t xml:space="preserve">Dự thảo Nghị quyết thay thế Nghị quyết số 15/2015/NQ-HĐND do Sở Lao động – Thương binh và Xã hội xây dựng là văn bản quy phạm pháp luật quy định về </w:t>
            </w:r>
            <w:r w:rsidRPr="00583A78">
              <w:rPr>
                <w:b/>
                <w:i/>
                <w:color w:val="000000"/>
                <w:szCs w:val="28"/>
                <w:lang w:val="pt-BR"/>
              </w:rPr>
              <w:t>chính sách đặc thù</w:t>
            </w:r>
            <w:r w:rsidRPr="00583A78">
              <w:rPr>
                <w:color w:val="000000"/>
                <w:szCs w:val="28"/>
                <w:lang w:val="pt-BR"/>
              </w:rPr>
              <w:t xml:space="preserve"> của địa phương (</w:t>
            </w:r>
            <w:r w:rsidRPr="00583A78">
              <w:rPr>
                <w:i/>
                <w:color w:val="000000"/>
                <w:szCs w:val="28"/>
                <w:lang w:val="pt-BR"/>
              </w:rPr>
              <w:t>thuộc trường hợp quy định tại các khoản 2, 3 và 4 Điều 27 Luật Ban hành văn bản quy phạm pháp luật năm 2015</w:t>
            </w:r>
            <w:r w:rsidRPr="00583A78">
              <w:rPr>
                <w:color w:val="000000"/>
                <w:szCs w:val="28"/>
                <w:lang w:val="pt-BR"/>
              </w:rPr>
              <w:t>) nên việc đề nghị thay thế Nghị quyết này phải thực hiện theo quy định tại khoản 3 Điều 111 Luật Ban hành văn bản quy phạm pháp luật năm 2015, cụ thể cơ quan soạn thảo cần tiến hành thực hiện 02 bước sau:</w:t>
            </w:r>
          </w:p>
          <w:p w:rsidR="00891E30" w:rsidRPr="00583A78" w:rsidRDefault="00891E30" w:rsidP="002C3AF5">
            <w:pPr>
              <w:jc w:val="both"/>
              <w:rPr>
                <w:b/>
                <w:i/>
                <w:szCs w:val="28"/>
                <w:lang w:val="pt-BR"/>
              </w:rPr>
            </w:pPr>
            <w:r w:rsidRPr="00583A78">
              <w:rPr>
                <w:b/>
                <w:i/>
                <w:szCs w:val="28"/>
                <w:lang w:val="pt-BR"/>
              </w:rPr>
              <w:t>Bước 1:</w:t>
            </w:r>
          </w:p>
          <w:p w:rsidR="00891E30" w:rsidRPr="00583A78" w:rsidRDefault="00891E30" w:rsidP="002C3AF5">
            <w:pPr>
              <w:jc w:val="both"/>
              <w:rPr>
                <w:color w:val="000000"/>
                <w:szCs w:val="28"/>
                <w:lang w:val="pt-BR"/>
              </w:rPr>
            </w:pPr>
            <w:r w:rsidRPr="00583A78">
              <w:rPr>
                <w:szCs w:val="28"/>
                <w:lang w:val="pt-BR"/>
              </w:rPr>
              <w:t xml:space="preserve">Tiến hành tham mưu lập </w:t>
            </w:r>
            <w:r w:rsidRPr="00583A78">
              <w:rPr>
                <w:b/>
                <w:szCs w:val="28"/>
                <w:lang w:val="pt-BR"/>
              </w:rPr>
              <w:t>Đề nghị xây dựng nghị quyết</w:t>
            </w:r>
            <w:r w:rsidRPr="00583A78">
              <w:rPr>
                <w:szCs w:val="28"/>
                <w:lang w:val="pt-BR"/>
              </w:rPr>
              <w:t xml:space="preserve"> theo các bước được quy định từ Điều 112 đến Điều 116 Luật Ban hành văn bản quy phạm pháp luật năm 2015 và các quy định có liên quan tại Chương II </w:t>
            </w:r>
            <w:r w:rsidRPr="00583A78">
              <w:rPr>
                <w:color w:val="000000"/>
                <w:szCs w:val="28"/>
                <w:lang w:val="pt-BR"/>
              </w:rPr>
              <w:t>Nghị định số 34/2016/NĐ-CP:</w:t>
            </w:r>
          </w:p>
          <w:p w:rsidR="00891E30" w:rsidRPr="00583A78" w:rsidRDefault="00891E30" w:rsidP="002C3AF5">
            <w:pPr>
              <w:jc w:val="both"/>
              <w:rPr>
                <w:color w:val="000000"/>
                <w:szCs w:val="28"/>
                <w:lang w:val="pt-BR"/>
              </w:rPr>
            </w:pPr>
            <w:r w:rsidRPr="00583A78">
              <w:rPr>
                <w:color w:val="000000"/>
                <w:szCs w:val="28"/>
                <w:lang w:val="pt-BR"/>
              </w:rPr>
              <w:t>- Cơ quan soạn thảo cần xây dựng nội dung của chính sách trong đề nghị xây dựng nghị quyết; đánh giá tác động của chính sách; dự kiến nguồn lực, điều kiện bảo đảm cho việc thi hành nghị quyết sau khi được Hội đồng nhân dân thông qua. Trong đó cần lưu ý:</w:t>
            </w:r>
          </w:p>
          <w:p w:rsidR="00891E30" w:rsidRPr="00583A78" w:rsidRDefault="00891E30" w:rsidP="002C3AF5">
            <w:pPr>
              <w:jc w:val="both"/>
              <w:rPr>
                <w:color w:val="000000"/>
                <w:szCs w:val="28"/>
                <w:lang w:val="pt-BR"/>
              </w:rPr>
            </w:pPr>
            <w:r w:rsidRPr="00583A78">
              <w:rPr>
                <w:color w:val="000000"/>
                <w:szCs w:val="28"/>
                <w:lang w:val="pt-BR"/>
              </w:rPr>
              <w:t xml:space="preserve">Cần có sự tổng kết việc thi hành pháp luật hoặc đánh giá các văn bản quy </w:t>
            </w:r>
            <w:r w:rsidRPr="00583A78">
              <w:rPr>
                <w:color w:val="000000"/>
                <w:szCs w:val="28"/>
                <w:lang w:val="pt-BR"/>
              </w:rPr>
              <w:lastRenderedPageBreak/>
              <w:t>phạm pháp luật hiện hành có liên quan đến đề nghị xây dựng nghị quyết; khảo sát, đánh giá thực trạng quan hệ xã hội liên quan đến nội dung chính của dự thảo nghị quyết; Xây dựng nội dung của chính sách trong đề nghị xây dựng nghị quyết; đánh giá tác động của chính sách; dự kiến nguồn lực, điều kiện bảo đảm cho việc thi hành nghị quyết sau khi được Hội đồng nhân dân thông qua.</w:t>
            </w:r>
          </w:p>
          <w:p w:rsidR="00891E30" w:rsidRPr="00583A78" w:rsidRDefault="00891E30" w:rsidP="002C3AF5">
            <w:pPr>
              <w:jc w:val="both"/>
              <w:rPr>
                <w:i/>
                <w:color w:val="000000"/>
                <w:szCs w:val="28"/>
                <w:lang w:val="pt-BR"/>
              </w:rPr>
            </w:pPr>
            <w:r w:rsidRPr="00583A78">
              <w:rPr>
                <w:i/>
                <w:color w:val="000000"/>
                <w:szCs w:val="28"/>
                <w:lang w:val="pt-BR"/>
              </w:rPr>
              <w:t xml:space="preserve">(*Việc xây dựng nội dung chính sách thực hiện theo quy định tại Điều 5 Nghị định số 34/2016/NĐ-CP; </w:t>
            </w:r>
          </w:p>
          <w:p w:rsidR="00891E30" w:rsidRPr="00583A78" w:rsidRDefault="00891E30" w:rsidP="002C3AF5">
            <w:pPr>
              <w:jc w:val="both"/>
              <w:rPr>
                <w:i/>
                <w:color w:val="000000"/>
                <w:szCs w:val="28"/>
                <w:lang w:val="pt-BR"/>
              </w:rPr>
            </w:pPr>
            <w:r w:rsidRPr="00583A78">
              <w:rPr>
                <w:i/>
                <w:color w:val="000000"/>
                <w:szCs w:val="28"/>
                <w:lang w:val="pt-BR"/>
              </w:rPr>
              <w:t xml:space="preserve">* Đánh giá tác động của chính sách thực hiện theo quy định tại Điều 6 Nghị định số 34/2016/NĐ-CP; </w:t>
            </w:r>
          </w:p>
          <w:p w:rsidR="00891E30" w:rsidRPr="00583A78" w:rsidRDefault="00891E30" w:rsidP="002C3AF5">
            <w:pPr>
              <w:jc w:val="both"/>
              <w:rPr>
                <w:i/>
                <w:color w:val="000000"/>
                <w:szCs w:val="28"/>
                <w:lang w:val="pt-BR"/>
              </w:rPr>
            </w:pPr>
            <w:r w:rsidRPr="00583A78">
              <w:rPr>
                <w:i/>
                <w:color w:val="000000"/>
                <w:szCs w:val="28"/>
                <w:lang w:val="pt-BR"/>
              </w:rPr>
              <w:t>* Phương pháp đánh giá tác động thực hiện theo Điều 7 Nghị định số 34/2016/NĐ-CP;)</w:t>
            </w:r>
          </w:p>
          <w:p w:rsidR="00891E30" w:rsidRPr="00583A78" w:rsidRDefault="00891E30" w:rsidP="002C3AF5">
            <w:pPr>
              <w:jc w:val="both"/>
              <w:rPr>
                <w:color w:val="000000"/>
                <w:szCs w:val="28"/>
                <w:lang w:val="pt-BR"/>
              </w:rPr>
            </w:pPr>
            <w:r w:rsidRPr="00583A78">
              <w:rPr>
                <w:color w:val="000000"/>
                <w:szCs w:val="28"/>
                <w:lang w:val="pt-BR"/>
              </w:rPr>
              <w:t>-  Tiến hành lấy ý kiến của các cơ quan, đơn vị có liên quan, đối tượng chịu tác động trực tiếp theo quy định tại Điều 113 Luật Ban hành văn bản quy phạm pháp luật. Theo đó, cần đăng tải toàn văn hồ sơ đề nghị xây dựng Nghị quyết trên Cổng thông tin điện tử tỉnh trong thời hạn ít nhất 30 ngày để lấy ý kiến; lấy ý kiến bằng văn bản của các Bộ có liên quan như: Lao động – Thương binh và Xã hội; Tài chính.</w:t>
            </w:r>
          </w:p>
          <w:p w:rsidR="00891E30" w:rsidRPr="00583A78" w:rsidRDefault="00891E30" w:rsidP="002C3AF5">
            <w:pPr>
              <w:jc w:val="both"/>
              <w:rPr>
                <w:color w:val="000000"/>
                <w:szCs w:val="28"/>
                <w:lang w:val="pt-BR"/>
              </w:rPr>
            </w:pPr>
            <w:r w:rsidRPr="00583A78">
              <w:rPr>
                <w:color w:val="000000"/>
                <w:szCs w:val="28"/>
                <w:lang w:val="pt-BR"/>
              </w:rPr>
              <w:t>-  Tiến hành tổng hợp ý kiến, hoàn chỉnh hồ sơ gửi Sở Tư pháp thẩm định. Hồ sơ thẩm định đề nghị xây dựng Nghị quyết thực hiện theo quy định tại Điều 114 Luật Ban hành văn bản quy phạm pháp luật (về mẫu Báo cáo đánh giá tác động, Tờ trình đề nghị xây dựng Nghị quyết theo Mẫu số 01, 02 Phụ lục số V ban hành kèm theo Nghị định số 34/2016/NĐ-CP ngày 14/5/2016 của Chỉnh phủ quy định chi tiết một số điều và biện pháp thi hành Luật Ban hành văn bản quy phạm pháp luật).</w:t>
            </w:r>
          </w:p>
          <w:p w:rsidR="00891E30" w:rsidRPr="00583A78" w:rsidRDefault="00891E30" w:rsidP="002C3AF5">
            <w:pPr>
              <w:jc w:val="both"/>
              <w:rPr>
                <w:color w:val="000000"/>
                <w:szCs w:val="28"/>
                <w:lang w:val="pt-BR"/>
              </w:rPr>
            </w:pPr>
            <w:r w:rsidRPr="00583A78">
              <w:rPr>
                <w:color w:val="000000"/>
                <w:szCs w:val="28"/>
                <w:lang w:val="pt-BR"/>
              </w:rPr>
              <w:t>- Sau khi có kết quả thẩm định của Sở Tư pháp tiến hành hoàn chỉnh hồ sơ trình UBND tỉnh lấy ý kiến thành viên UBND tỉnh. Trong trường hợp được các thành viên UBND tỉnh thống nhất mới hoàn thiện hồ sơ trình Thường trực Hội đồng nhân dân.</w:t>
            </w:r>
          </w:p>
          <w:p w:rsidR="00891E30" w:rsidRPr="00583A78" w:rsidRDefault="00891E30" w:rsidP="002C3AF5">
            <w:pPr>
              <w:jc w:val="both"/>
              <w:rPr>
                <w:b/>
                <w:i/>
                <w:color w:val="000000"/>
                <w:szCs w:val="28"/>
                <w:lang w:val="pt-BR"/>
              </w:rPr>
            </w:pPr>
            <w:r w:rsidRPr="00583A78">
              <w:rPr>
                <w:b/>
                <w:i/>
                <w:color w:val="000000"/>
                <w:szCs w:val="28"/>
                <w:lang w:val="pt-BR"/>
              </w:rPr>
              <w:t>Bước 2:</w:t>
            </w:r>
          </w:p>
          <w:p w:rsidR="00891E30" w:rsidRPr="00583A78" w:rsidRDefault="00891E30" w:rsidP="002C3AF5">
            <w:pPr>
              <w:jc w:val="both"/>
              <w:rPr>
                <w:szCs w:val="28"/>
                <w:lang w:val="vi-VN"/>
              </w:rPr>
            </w:pPr>
            <w:r w:rsidRPr="00583A78">
              <w:rPr>
                <w:szCs w:val="28"/>
                <w:lang w:val="pt-BR"/>
              </w:rPr>
              <w:t xml:space="preserve">- </w:t>
            </w:r>
            <w:r w:rsidRPr="00583A78">
              <w:rPr>
                <w:szCs w:val="28"/>
                <w:lang w:val="vi-VN"/>
              </w:rPr>
              <w:t xml:space="preserve"> Sau khi Đề nghị xây dựng nghị quyết được Thường trực HĐND tỉnh chấp thuận theo quy định tại Điều 118 Luật Ban hành văn bản quy phạm </w:t>
            </w:r>
            <w:r w:rsidRPr="00583A78">
              <w:rPr>
                <w:szCs w:val="28"/>
                <w:lang w:val="vi-VN"/>
              </w:rPr>
              <w:lastRenderedPageBreak/>
              <w:t xml:space="preserve">pháp luật năm 2015, </w:t>
            </w:r>
            <w:r w:rsidRPr="00583A78">
              <w:rPr>
                <w:szCs w:val="28"/>
                <w:lang w:val="pt-BR"/>
              </w:rPr>
              <w:t xml:space="preserve">cơ quan soạn thảo </w:t>
            </w:r>
            <w:r w:rsidRPr="00583A78">
              <w:rPr>
                <w:szCs w:val="28"/>
                <w:lang w:val="vi-VN"/>
              </w:rPr>
              <w:t xml:space="preserve">tiến hành </w:t>
            </w:r>
            <w:r w:rsidRPr="00583A78">
              <w:rPr>
                <w:b/>
                <w:szCs w:val="28"/>
                <w:lang w:val="vi-VN"/>
              </w:rPr>
              <w:t xml:space="preserve">xây dựng dự thảo </w:t>
            </w:r>
            <w:r w:rsidRPr="00583A78">
              <w:rPr>
                <w:b/>
                <w:szCs w:val="28"/>
                <w:lang w:val="pt-BR"/>
              </w:rPr>
              <w:t>Nghị quyết</w:t>
            </w:r>
            <w:r w:rsidRPr="00583A78">
              <w:rPr>
                <w:szCs w:val="28"/>
                <w:lang w:val="vi-VN"/>
              </w:rPr>
              <w:t xml:space="preserve"> theo các bước được quy định từ Điều 119 đến Điều 122 Luật Ban hành văn bản quy phạm pháp luật năm 2015. Cụ thể:</w:t>
            </w:r>
          </w:p>
          <w:p w:rsidR="00891E30" w:rsidRPr="00583A78" w:rsidRDefault="00891E30" w:rsidP="002C3AF5">
            <w:pPr>
              <w:jc w:val="both"/>
              <w:rPr>
                <w:szCs w:val="28"/>
              </w:rPr>
            </w:pPr>
            <w:r w:rsidRPr="00583A78">
              <w:rPr>
                <w:szCs w:val="28"/>
                <w:lang w:val="vi-VN"/>
              </w:rPr>
              <w:t xml:space="preserve">+  Tiến hành xây dựng nội dung dự thảo nghị quyết; </w:t>
            </w:r>
          </w:p>
          <w:p w:rsidR="00891E30" w:rsidRPr="00583A78" w:rsidRDefault="00891E30" w:rsidP="002C3AF5">
            <w:pPr>
              <w:jc w:val="both"/>
              <w:rPr>
                <w:szCs w:val="28"/>
              </w:rPr>
            </w:pPr>
            <w:r w:rsidRPr="00583A78">
              <w:rPr>
                <w:szCs w:val="28"/>
              </w:rPr>
              <w:t xml:space="preserve">+ </w:t>
            </w:r>
            <w:r w:rsidRPr="00583A78">
              <w:rPr>
                <w:szCs w:val="28"/>
                <w:lang w:val="vi-VN"/>
              </w:rPr>
              <w:t>Lấy ý kiến đối với dự thảo nghị quyết;</w:t>
            </w:r>
          </w:p>
          <w:p w:rsidR="00891E30" w:rsidRPr="00583A78" w:rsidRDefault="00891E30" w:rsidP="002C3AF5">
            <w:pPr>
              <w:jc w:val="both"/>
              <w:rPr>
                <w:szCs w:val="28"/>
              </w:rPr>
            </w:pPr>
            <w:r w:rsidRPr="00583A78">
              <w:rPr>
                <w:szCs w:val="28"/>
              </w:rPr>
              <w:t xml:space="preserve">+ </w:t>
            </w:r>
            <w:r w:rsidRPr="00583A78">
              <w:rPr>
                <w:szCs w:val="28"/>
                <w:lang w:val="vi-VN"/>
              </w:rPr>
              <w:t xml:space="preserve"> Hoàn chỉnh dự thảo, hồ sơ gửi Sở Tư pháp thẩm định; </w:t>
            </w:r>
          </w:p>
          <w:p w:rsidR="00891E30" w:rsidRPr="00583A78" w:rsidRDefault="00891E30" w:rsidP="002C3AF5">
            <w:pPr>
              <w:jc w:val="both"/>
              <w:rPr>
                <w:szCs w:val="28"/>
              </w:rPr>
            </w:pPr>
            <w:r w:rsidRPr="00583A78">
              <w:rPr>
                <w:szCs w:val="28"/>
              </w:rPr>
              <w:t xml:space="preserve">+ </w:t>
            </w:r>
            <w:r w:rsidRPr="00583A78">
              <w:rPr>
                <w:szCs w:val="28"/>
                <w:lang w:val="vi-VN"/>
              </w:rPr>
              <w:t>Hoàn thiện dự thảo văn bản theo ý kiến thẩm định của Sở Tư pháp gửi UBND tỉnh xem xét</w:t>
            </w:r>
            <w:r w:rsidRPr="00583A78">
              <w:rPr>
                <w:szCs w:val="28"/>
              </w:rPr>
              <w:t>, lấy ý kiến thành viên UBND tỉnh, hoàn thiện hồ sơ trình HĐND tỉnh xem xét, thông qua.</w:t>
            </w:r>
          </w:p>
          <w:p w:rsidR="00EE0E31" w:rsidRPr="00583A78" w:rsidRDefault="00891E30" w:rsidP="002C3AF5">
            <w:pPr>
              <w:jc w:val="both"/>
              <w:rPr>
                <w:i/>
                <w:szCs w:val="28"/>
              </w:rPr>
            </w:pPr>
            <w:r w:rsidRPr="00583A78">
              <w:rPr>
                <w:i/>
                <w:szCs w:val="28"/>
              </w:rPr>
              <w:t>(Quy trình xây dựng Nghị quyết đặc thù khá phức tạp do đó trong quá trình thực hiện, cơ quan soạn thảo có thể liên hệ trực tiếp với Phòng Văn bản và Phổ biến, giáo dục pháp luật để được hướng dẫn cụ thể, tránh việc xây dựng không đảm bảo quy định, mất nhiều thời gian)</w:t>
            </w:r>
          </w:p>
          <w:p w:rsidR="009E6B9E" w:rsidRPr="00583A78" w:rsidRDefault="009E6B9E" w:rsidP="002C3AF5">
            <w:pPr>
              <w:jc w:val="both"/>
              <w:rPr>
                <w:i/>
                <w:szCs w:val="28"/>
              </w:rPr>
            </w:pPr>
            <w:r w:rsidRPr="00583A78">
              <w:rPr>
                <w:b/>
                <w:i/>
                <w:szCs w:val="28"/>
                <w:u w:val="single"/>
              </w:rPr>
              <w:t xml:space="preserve">Giải trình:  </w:t>
            </w:r>
            <w:r w:rsidRPr="00583A78">
              <w:rPr>
                <w:szCs w:val="28"/>
              </w:rPr>
              <w:t>Cơ quan soạn thảo tiếp thu, hoàn chỉnh theo đề nghị.</w:t>
            </w:r>
          </w:p>
        </w:tc>
      </w:tr>
      <w:tr w:rsidR="00EE0E31" w:rsidRPr="00583A78" w:rsidTr="00426E6A">
        <w:tc>
          <w:tcPr>
            <w:tcW w:w="550" w:type="dxa"/>
            <w:tcBorders>
              <w:top w:val="single" w:sz="4" w:space="0" w:color="auto"/>
              <w:left w:val="single" w:sz="4" w:space="0" w:color="auto"/>
              <w:bottom w:val="single" w:sz="4" w:space="0" w:color="auto"/>
              <w:right w:val="single" w:sz="4" w:space="0" w:color="auto"/>
            </w:tcBorders>
            <w:vAlign w:val="center"/>
          </w:tcPr>
          <w:p w:rsidR="00EE0E31" w:rsidRPr="00583A78" w:rsidRDefault="00EE0E31" w:rsidP="002C3AF5">
            <w:pPr>
              <w:jc w:val="center"/>
              <w:rPr>
                <w:szCs w:val="28"/>
              </w:rPr>
            </w:pPr>
            <w:r w:rsidRPr="00583A78">
              <w:rPr>
                <w:szCs w:val="28"/>
              </w:rPr>
              <w:lastRenderedPageBreak/>
              <w:t>3</w:t>
            </w:r>
          </w:p>
        </w:tc>
        <w:tc>
          <w:tcPr>
            <w:tcW w:w="1857" w:type="dxa"/>
            <w:tcBorders>
              <w:top w:val="single" w:sz="4" w:space="0" w:color="auto"/>
              <w:left w:val="single" w:sz="4" w:space="0" w:color="auto"/>
              <w:bottom w:val="single" w:sz="4" w:space="0" w:color="auto"/>
              <w:right w:val="single" w:sz="4" w:space="0" w:color="auto"/>
            </w:tcBorders>
            <w:vAlign w:val="center"/>
          </w:tcPr>
          <w:p w:rsidR="00EE0E31" w:rsidRPr="00583A78" w:rsidRDefault="00A337CB" w:rsidP="002C3AF5">
            <w:pPr>
              <w:jc w:val="center"/>
              <w:rPr>
                <w:szCs w:val="28"/>
              </w:rPr>
            </w:pPr>
            <w:r w:rsidRPr="00583A78">
              <w:rPr>
                <w:szCs w:val="28"/>
              </w:rPr>
              <w:t>Sở Giáo dục và Đào tạo</w:t>
            </w:r>
          </w:p>
        </w:tc>
        <w:tc>
          <w:tcPr>
            <w:tcW w:w="2127" w:type="dxa"/>
            <w:tcBorders>
              <w:top w:val="single" w:sz="4" w:space="0" w:color="auto"/>
              <w:left w:val="single" w:sz="4" w:space="0" w:color="auto"/>
              <w:bottom w:val="single" w:sz="4" w:space="0" w:color="auto"/>
              <w:right w:val="single" w:sz="4" w:space="0" w:color="auto"/>
            </w:tcBorders>
            <w:vAlign w:val="center"/>
          </w:tcPr>
          <w:p w:rsidR="00EE0E31" w:rsidRPr="00583A78" w:rsidRDefault="00A337CB" w:rsidP="002C3AF5">
            <w:pPr>
              <w:jc w:val="center"/>
              <w:rPr>
                <w:szCs w:val="28"/>
              </w:rPr>
            </w:pPr>
            <w:r w:rsidRPr="00583A78">
              <w:rPr>
                <w:szCs w:val="28"/>
              </w:rPr>
              <w:t>138/SGDĐT-TCCBTC</w:t>
            </w:r>
          </w:p>
        </w:tc>
        <w:tc>
          <w:tcPr>
            <w:tcW w:w="1683" w:type="dxa"/>
            <w:tcBorders>
              <w:top w:val="single" w:sz="4" w:space="0" w:color="auto"/>
              <w:left w:val="single" w:sz="4" w:space="0" w:color="auto"/>
              <w:bottom w:val="single" w:sz="4" w:space="0" w:color="auto"/>
              <w:right w:val="single" w:sz="4" w:space="0" w:color="auto"/>
            </w:tcBorders>
            <w:vAlign w:val="center"/>
          </w:tcPr>
          <w:p w:rsidR="00EE0E31" w:rsidRPr="00583A78" w:rsidRDefault="00A337CB" w:rsidP="002C3AF5">
            <w:pPr>
              <w:jc w:val="center"/>
              <w:rPr>
                <w:szCs w:val="28"/>
              </w:rPr>
            </w:pPr>
            <w:r w:rsidRPr="00583A78">
              <w:rPr>
                <w:szCs w:val="28"/>
              </w:rPr>
              <w:t>26/6/2020</w:t>
            </w:r>
          </w:p>
        </w:tc>
        <w:tc>
          <w:tcPr>
            <w:tcW w:w="8525" w:type="dxa"/>
            <w:tcBorders>
              <w:top w:val="single" w:sz="4" w:space="0" w:color="auto"/>
              <w:left w:val="single" w:sz="4" w:space="0" w:color="auto"/>
              <w:bottom w:val="single" w:sz="4" w:space="0" w:color="auto"/>
              <w:right w:val="single" w:sz="4" w:space="0" w:color="auto"/>
            </w:tcBorders>
            <w:vAlign w:val="center"/>
          </w:tcPr>
          <w:p w:rsidR="00EE0E31" w:rsidRPr="00583A78" w:rsidRDefault="00A337CB" w:rsidP="002C3AF5">
            <w:pPr>
              <w:jc w:val="both"/>
              <w:rPr>
                <w:szCs w:val="28"/>
                <w:lang w:val="vi-VN"/>
              </w:rPr>
            </w:pPr>
            <w:r w:rsidRPr="00583A78">
              <w:rPr>
                <w:color w:val="000000"/>
                <w:szCs w:val="28"/>
              </w:rPr>
              <w:t>Thống nhất với nội dung của bản Dự thảo</w:t>
            </w:r>
          </w:p>
        </w:tc>
      </w:tr>
      <w:tr w:rsidR="004320E0" w:rsidRPr="00583A78" w:rsidTr="00426E6A">
        <w:tc>
          <w:tcPr>
            <w:tcW w:w="550" w:type="dxa"/>
            <w:tcBorders>
              <w:top w:val="single" w:sz="4" w:space="0" w:color="auto"/>
              <w:left w:val="single" w:sz="4" w:space="0" w:color="auto"/>
              <w:bottom w:val="single" w:sz="4" w:space="0" w:color="auto"/>
              <w:right w:val="single" w:sz="4" w:space="0" w:color="auto"/>
            </w:tcBorders>
            <w:vAlign w:val="center"/>
          </w:tcPr>
          <w:p w:rsidR="004320E0" w:rsidRPr="00583A78" w:rsidRDefault="004320E0" w:rsidP="002C3AF5">
            <w:pPr>
              <w:jc w:val="center"/>
              <w:rPr>
                <w:szCs w:val="28"/>
              </w:rPr>
            </w:pPr>
            <w:r w:rsidRPr="00583A78">
              <w:rPr>
                <w:szCs w:val="28"/>
              </w:rPr>
              <w:t>4</w:t>
            </w:r>
          </w:p>
        </w:tc>
        <w:tc>
          <w:tcPr>
            <w:tcW w:w="1857" w:type="dxa"/>
            <w:tcBorders>
              <w:top w:val="single" w:sz="4" w:space="0" w:color="auto"/>
              <w:left w:val="single" w:sz="4" w:space="0" w:color="auto"/>
              <w:bottom w:val="single" w:sz="4" w:space="0" w:color="auto"/>
              <w:right w:val="single" w:sz="4" w:space="0" w:color="auto"/>
            </w:tcBorders>
            <w:vAlign w:val="center"/>
          </w:tcPr>
          <w:p w:rsidR="004320E0" w:rsidRPr="00583A78" w:rsidRDefault="004320E0" w:rsidP="002C3AF5">
            <w:pPr>
              <w:jc w:val="center"/>
              <w:rPr>
                <w:color w:val="000000"/>
                <w:szCs w:val="28"/>
              </w:rPr>
            </w:pPr>
            <w:r w:rsidRPr="00583A78">
              <w:rPr>
                <w:color w:val="000000"/>
                <w:szCs w:val="28"/>
              </w:rPr>
              <w:t>Sở Kế hoạch và Đầu tư</w:t>
            </w:r>
          </w:p>
        </w:tc>
        <w:tc>
          <w:tcPr>
            <w:tcW w:w="2127" w:type="dxa"/>
            <w:tcBorders>
              <w:top w:val="single" w:sz="4" w:space="0" w:color="auto"/>
              <w:left w:val="single" w:sz="4" w:space="0" w:color="auto"/>
              <w:bottom w:val="single" w:sz="4" w:space="0" w:color="auto"/>
              <w:right w:val="single" w:sz="4" w:space="0" w:color="auto"/>
            </w:tcBorders>
            <w:vAlign w:val="center"/>
          </w:tcPr>
          <w:p w:rsidR="004320E0" w:rsidRPr="00583A78" w:rsidRDefault="00D15872" w:rsidP="002C3AF5">
            <w:pPr>
              <w:jc w:val="center"/>
              <w:rPr>
                <w:color w:val="000000"/>
                <w:szCs w:val="28"/>
              </w:rPr>
            </w:pPr>
            <w:r w:rsidRPr="00583A78">
              <w:rPr>
                <w:color w:val="000000"/>
                <w:szCs w:val="28"/>
              </w:rPr>
              <w:t>1022</w:t>
            </w:r>
            <w:r w:rsidR="00207E67" w:rsidRPr="00583A78">
              <w:rPr>
                <w:color w:val="000000"/>
                <w:szCs w:val="28"/>
              </w:rPr>
              <w:t>/SKH-QLN</w:t>
            </w:r>
          </w:p>
        </w:tc>
        <w:tc>
          <w:tcPr>
            <w:tcW w:w="1683" w:type="dxa"/>
            <w:tcBorders>
              <w:top w:val="single" w:sz="4" w:space="0" w:color="auto"/>
              <w:left w:val="single" w:sz="4" w:space="0" w:color="auto"/>
              <w:bottom w:val="single" w:sz="4" w:space="0" w:color="auto"/>
              <w:right w:val="single" w:sz="4" w:space="0" w:color="auto"/>
            </w:tcBorders>
            <w:vAlign w:val="center"/>
          </w:tcPr>
          <w:p w:rsidR="004320E0" w:rsidRPr="00583A78" w:rsidRDefault="00D15872" w:rsidP="002C3AF5">
            <w:pPr>
              <w:jc w:val="center"/>
              <w:rPr>
                <w:color w:val="000000"/>
                <w:szCs w:val="28"/>
              </w:rPr>
            </w:pPr>
            <w:r w:rsidRPr="00583A78">
              <w:rPr>
                <w:color w:val="000000"/>
                <w:szCs w:val="28"/>
              </w:rPr>
              <w:t>30</w:t>
            </w:r>
            <w:r w:rsidR="00207E67" w:rsidRPr="00583A78">
              <w:rPr>
                <w:color w:val="000000"/>
                <w:szCs w:val="28"/>
              </w:rPr>
              <w:t>/</w:t>
            </w:r>
            <w:r w:rsidRPr="00583A78">
              <w:rPr>
                <w:color w:val="000000"/>
                <w:szCs w:val="28"/>
              </w:rPr>
              <w:t>6</w:t>
            </w:r>
            <w:r w:rsidR="00207E67" w:rsidRPr="00583A78">
              <w:rPr>
                <w:color w:val="000000"/>
                <w:szCs w:val="28"/>
              </w:rPr>
              <w:t>/20</w:t>
            </w:r>
            <w:r w:rsidRPr="00583A78">
              <w:rPr>
                <w:color w:val="000000"/>
                <w:szCs w:val="28"/>
              </w:rPr>
              <w:t>20</w:t>
            </w:r>
          </w:p>
        </w:tc>
        <w:tc>
          <w:tcPr>
            <w:tcW w:w="8525" w:type="dxa"/>
            <w:tcBorders>
              <w:top w:val="single" w:sz="4" w:space="0" w:color="auto"/>
              <w:left w:val="single" w:sz="4" w:space="0" w:color="auto"/>
              <w:bottom w:val="single" w:sz="4" w:space="0" w:color="auto"/>
              <w:right w:val="single" w:sz="4" w:space="0" w:color="auto"/>
            </w:tcBorders>
            <w:vAlign w:val="center"/>
          </w:tcPr>
          <w:p w:rsidR="00D15872" w:rsidRPr="00583A78" w:rsidRDefault="00D15872" w:rsidP="002C3AF5">
            <w:pPr>
              <w:jc w:val="both"/>
              <w:rPr>
                <w:b/>
                <w:szCs w:val="28"/>
              </w:rPr>
            </w:pPr>
            <w:r w:rsidRPr="00583A78">
              <w:rPr>
                <w:b/>
                <w:szCs w:val="28"/>
              </w:rPr>
              <w:t>1. Về dự thảo Báo cáo tổng kết việc thi hành Nghị quyết số 15/2014/NQ-HĐND ngày 16/7/2014 của Hội đồng nhân dân tỉnh:</w:t>
            </w:r>
          </w:p>
          <w:p w:rsidR="00D15872" w:rsidRPr="00583A78" w:rsidRDefault="00D15872" w:rsidP="002C3AF5">
            <w:pPr>
              <w:jc w:val="both"/>
              <w:rPr>
                <w:color w:val="000000"/>
                <w:szCs w:val="28"/>
              </w:rPr>
            </w:pPr>
            <w:r w:rsidRPr="00583A78">
              <w:rPr>
                <w:szCs w:val="28"/>
              </w:rPr>
              <w:t xml:space="preserve">- Về thẩm quyền: đề nghị </w:t>
            </w:r>
            <w:r w:rsidRPr="00583A78">
              <w:rPr>
                <w:color w:val="000000"/>
                <w:szCs w:val="28"/>
              </w:rPr>
              <w:t>Sở Lao động, Thương binh và Xã hội tham mưu báo cáo của UBND tỉnh báo cáo Hội đồng nhân dân tỉnh (văn bản dự thảo là báo cáo của Sở Lao động, Thương binh và Xã hội báo cáo UBND tỉnh);</w:t>
            </w:r>
          </w:p>
          <w:p w:rsidR="00D15872" w:rsidRPr="00583A78" w:rsidRDefault="00D15872" w:rsidP="002C3AF5">
            <w:pPr>
              <w:jc w:val="both"/>
              <w:rPr>
                <w:color w:val="000000"/>
                <w:szCs w:val="28"/>
              </w:rPr>
            </w:pPr>
            <w:r w:rsidRPr="00583A78">
              <w:rPr>
                <w:color w:val="000000"/>
                <w:szCs w:val="28"/>
              </w:rPr>
              <w:t xml:space="preserve">- Về nội dung: cần khảo sát, đánh giá và phân tích sâu hơn về các nội dung liên quan đến chính sách hỗ trợ đào tạo lao động kỹ thuật trình độ trung cấp nghề trở lên và giáo viên dạy nghề tại các cơ sở dạy nghề công lập trên địa bàn tỉnh Đắk Nông giai đoạn 2014-2020, như: </w:t>
            </w:r>
          </w:p>
          <w:p w:rsidR="00D15872" w:rsidRPr="00583A78" w:rsidRDefault="00D15872" w:rsidP="002C3AF5">
            <w:pPr>
              <w:jc w:val="both"/>
              <w:rPr>
                <w:color w:val="000000"/>
                <w:szCs w:val="28"/>
              </w:rPr>
            </w:pPr>
            <w:r w:rsidRPr="00583A78">
              <w:rPr>
                <w:color w:val="000000"/>
                <w:szCs w:val="28"/>
              </w:rPr>
              <w:t>+ Trước khi thực hiện chính sách;</w:t>
            </w:r>
          </w:p>
          <w:p w:rsidR="00D15872" w:rsidRPr="00583A78" w:rsidRDefault="00D15872" w:rsidP="002C3AF5">
            <w:pPr>
              <w:jc w:val="both"/>
              <w:rPr>
                <w:color w:val="000000"/>
                <w:szCs w:val="28"/>
              </w:rPr>
            </w:pPr>
            <w:r w:rsidRPr="00583A78">
              <w:rPr>
                <w:color w:val="000000"/>
                <w:szCs w:val="28"/>
              </w:rPr>
              <w:t>+ Trong quá trình triển khai thực hiện chính sách: thuận lợi, khó khăn, những bất cập của chính sách (nếu có), sự tác động của chính sách đối với đối tượng thụ hưởng, đối với xã hội,…;</w:t>
            </w:r>
          </w:p>
          <w:p w:rsidR="00D15872" w:rsidRPr="00583A78" w:rsidRDefault="00D15872" w:rsidP="002C3AF5">
            <w:pPr>
              <w:jc w:val="both"/>
              <w:rPr>
                <w:szCs w:val="28"/>
              </w:rPr>
            </w:pPr>
            <w:r w:rsidRPr="00583A78">
              <w:rPr>
                <w:color w:val="000000"/>
                <w:szCs w:val="28"/>
              </w:rPr>
              <w:t xml:space="preserve">+ Tác động nếu có trong trường hợp chính sách không còn được triển khai do </w:t>
            </w:r>
            <w:r w:rsidRPr="00583A78">
              <w:rPr>
                <w:szCs w:val="28"/>
              </w:rPr>
              <w:t xml:space="preserve">Nghị quyết số 15/2014/NQ-HĐND ngày 16/7/2014 của Hội đồng </w:t>
            </w:r>
            <w:r w:rsidRPr="00583A78">
              <w:rPr>
                <w:szCs w:val="28"/>
              </w:rPr>
              <w:lastRenderedPageBreak/>
              <w:t>nhân dân tỉnh hết hiệu lực thi hành mà chưa có Nghị quyết mới thay thế.</w:t>
            </w:r>
          </w:p>
          <w:p w:rsidR="00D15872" w:rsidRPr="00583A78" w:rsidRDefault="00D15872" w:rsidP="002C3AF5">
            <w:pPr>
              <w:jc w:val="both"/>
              <w:rPr>
                <w:szCs w:val="28"/>
              </w:rPr>
            </w:pPr>
            <w:r w:rsidRPr="00583A78">
              <w:rPr>
                <w:i/>
                <w:szCs w:val="28"/>
              </w:rPr>
              <w:t xml:space="preserve">(Tại văn bản dự thảo, cơ quan chủ trì đưa vào nội dung phần </w:t>
            </w:r>
            <w:r w:rsidRPr="00583A78">
              <w:rPr>
                <w:szCs w:val="28"/>
              </w:rPr>
              <w:t>I. Thực trạng kinh tế - xã hội của địa phương đầu giai đoạn 2016-2020</w:t>
            </w:r>
            <w:r w:rsidRPr="00583A78">
              <w:rPr>
                <w:i/>
                <w:szCs w:val="28"/>
              </w:rPr>
              <w:t xml:space="preserve"> để nêu các số liệu thống kê về tình hình phát triển kinh tế - xã hội của năm 2018 và giai đoạn 2016-2018; tuy nhiên các số liệu này không liên quan nhiều đến báo cáo tổng kết việc thi hành Nghị quyết số 15/2014/NQ-HĐND ngày 16/7/2014 của Hội đồng nhân dân tỉnh)</w:t>
            </w:r>
            <w:r w:rsidRPr="00583A78">
              <w:rPr>
                <w:szCs w:val="28"/>
              </w:rPr>
              <w:t>.</w:t>
            </w:r>
          </w:p>
          <w:p w:rsidR="00207E67" w:rsidRPr="00583A78" w:rsidRDefault="00D15872" w:rsidP="002C3AF5">
            <w:pPr>
              <w:jc w:val="both"/>
              <w:rPr>
                <w:color w:val="000000"/>
                <w:szCs w:val="28"/>
              </w:rPr>
            </w:pPr>
            <w:r w:rsidRPr="00583A78">
              <w:rPr>
                <w:b/>
                <w:szCs w:val="28"/>
              </w:rPr>
              <w:t xml:space="preserve">2. Về dự thảo Bảng mô tả đề xuất xây dựng Nghị quyết </w:t>
            </w:r>
            <w:r w:rsidRPr="00583A78">
              <w:rPr>
                <w:b/>
                <w:i/>
                <w:szCs w:val="28"/>
              </w:rPr>
              <w:t>“Hỗ trợ đào tạo nghề nghiệp trình độ trung cấp, cao đẳng và giải quyết việc làm trên địa bàn tỉnh Đắk Nông giai đoạn 2020-2025”</w:t>
            </w:r>
            <w:r w:rsidRPr="00583A78">
              <w:rPr>
                <w:szCs w:val="28"/>
              </w:rPr>
              <w:t xml:space="preserve"> thay thế Nghị quyết số 15/2014/NQ-HĐND ngày 16/7/2014 của Hội đồng nhân dân tỉnh: đề nghị </w:t>
            </w:r>
            <w:r w:rsidRPr="00583A78">
              <w:rPr>
                <w:color w:val="000000"/>
                <w:szCs w:val="28"/>
              </w:rPr>
              <w:t>Sở Lao động, Thương binh và Xã hội tham mưu các văn bản theo trình tự, đúng quy trình được quy định tại Luật ban hành văn bản quy phạm pháp luật năm 2015 và Nghị định số 34/2016/NĐ-CP, ngày 14/5/2016 của Chính phủ quy định chi tiết một số điều và biện pháp thi hành Luật ban hành văn bản quy phạm pháp luật.</w:t>
            </w:r>
          </w:p>
          <w:p w:rsidR="009E6B9E" w:rsidRPr="00583A78" w:rsidRDefault="009E6B9E" w:rsidP="002C3AF5">
            <w:pPr>
              <w:jc w:val="both"/>
              <w:rPr>
                <w:color w:val="000000"/>
                <w:szCs w:val="28"/>
              </w:rPr>
            </w:pPr>
            <w:r w:rsidRPr="00583A78">
              <w:rPr>
                <w:b/>
                <w:szCs w:val="28"/>
                <w:u w:val="single"/>
              </w:rPr>
              <w:t>Giải trình:</w:t>
            </w:r>
            <w:r w:rsidRPr="00583A78">
              <w:rPr>
                <w:szCs w:val="28"/>
              </w:rPr>
              <w:t xml:space="preserve"> Cơ quan soạn thảo tiếp thu, hoàn chỉnh theo đề nghị.</w:t>
            </w:r>
          </w:p>
        </w:tc>
      </w:tr>
      <w:tr w:rsidR="009731C4" w:rsidRPr="00583A78" w:rsidTr="00426E6A">
        <w:tc>
          <w:tcPr>
            <w:tcW w:w="550" w:type="dxa"/>
            <w:tcBorders>
              <w:top w:val="single" w:sz="4" w:space="0" w:color="auto"/>
              <w:left w:val="single" w:sz="4" w:space="0" w:color="auto"/>
              <w:bottom w:val="single" w:sz="4" w:space="0" w:color="auto"/>
              <w:right w:val="single" w:sz="4" w:space="0" w:color="auto"/>
            </w:tcBorders>
            <w:vAlign w:val="center"/>
          </w:tcPr>
          <w:p w:rsidR="009731C4" w:rsidRPr="00583A78" w:rsidRDefault="00891E30" w:rsidP="002C3AF5">
            <w:pPr>
              <w:jc w:val="center"/>
              <w:rPr>
                <w:szCs w:val="28"/>
              </w:rPr>
            </w:pPr>
            <w:r w:rsidRPr="00583A78">
              <w:rPr>
                <w:szCs w:val="28"/>
              </w:rPr>
              <w:lastRenderedPageBreak/>
              <w:t>5</w:t>
            </w:r>
          </w:p>
        </w:tc>
        <w:tc>
          <w:tcPr>
            <w:tcW w:w="1857" w:type="dxa"/>
            <w:tcBorders>
              <w:top w:val="single" w:sz="4" w:space="0" w:color="auto"/>
              <w:left w:val="single" w:sz="4" w:space="0" w:color="auto"/>
              <w:bottom w:val="single" w:sz="4" w:space="0" w:color="auto"/>
              <w:right w:val="single" w:sz="4" w:space="0" w:color="auto"/>
            </w:tcBorders>
            <w:vAlign w:val="center"/>
          </w:tcPr>
          <w:p w:rsidR="009731C4" w:rsidRPr="00583A78" w:rsidRDefault="009731C4" w:rsidP="002C3AF5">
            <w:pPr>
              <w:jc w:val="center"/>
              <w:rPr>
                <w:color w:val="000000"/>
                <w:szCs w:val="28"/>
              </w:rPr>
            </w:pPr>
            <w:r w:rsidRPr="00583A78">
              <w:rPr>
                <w:color w:val="000000"/>
                <w:szCs w:val="28"/>
              </w:rPr>
              <w:t>Sở Nội vụ</w:t>
            </w:r>
          </w:p>
        </w:tc>
        <w:tc>
          <w:tcPr>
            <w:tcW w:w="2127" w:type="dxa"/>
            <w:tcBorders>
              <w:top w:val="single" w:sz="4" w:space="0" w:color="auto"/>
              <w:left w:val="single" w:sz="4" w:space="0" w:color="auto"/>
              <w:bottom w:val="single" w:sz="4" w:space="0" w:color="auto"/>
              <w:right w:val="single" w:sz="4" w:space="0" w:color="auto"/>
            </w:tcBorders>
            <w:vAlign w:val="center"/>
          </w:tcPr>
          <w:p w:rsidR="009731C4" w:rsidRPr="00583A78" w:rsidRDefault="009731C4" w:rsidP="002C3AF5">
            <w:pPr>
              <w:jc w:val="center"/>
              <w:rPr>
                <w:color w:val="000000"/>
                <w:szCs w:val="28"/>
              </w:rPr>
            </w:pPr>
            <w:r w:rsidRPr="00583A78">
              <w:rPr>
                <w:color w:val="000000"/>
                <w:szCs w:val="28"/>
              </w:rPr>
              <w:t>957/SNV-TCCCVC</w:t>
            </w:r>
          </w:p>
        </w:tc>
        <w:tc>
          <w:tcPr>
            <w:tcW w:w="1683" w:type="dxa"/>
            <w:tcBorders>
              <w:top w:val="single" w:sz="4" w:space="0" w:color="auto"/>
              <w:left w:val="single" w:sz="4" w:space="0" w:color="auto"/>
              <w:bottom w:val="single" w:sz="4" w:space="0" w:color="auto"/>
              <w:right w:val="single" w:sz="4" w:space="0" w:color="auto"/>
            </w:tcBorders>
            <w:vAlign w:val="center"/>
          </w:tcPr>
          <w:p w:rsidR="009731C4" w:rsidRPr="00583A78" w:rsidRDefault="009731C4" w:rsidP="002C3AF5">
            <w:pPr>
              <w:jc w:val="center"/>
              <w:rPr>
                <w:color w:val="000000"/>
                <w:szCs w:val="28"/>
              </w:rPr>
            </w:pPr>
            <w:r w:rsidRPr="00583A78">
              <w:rPr>
                <w:color w:val="000000"/>
                <w:szCs w:val="28"/>
              </w:rPr>
              <w:t>30/6/2020</w:t>
            </w:r>
          </w:p>
        </w:tc>
        <w:tc>
          <w:tcPr>
            <w:tcW w:w="8525" w:type="dxa"/>
            <w:tcBorders>
              <w:top w:val="single" w:sz="4" w:space="0" w:color="auto"/>
              <w:left w:val="single" w:sz="4" w:space="0" w:color="auto"/>
              <w:bottom w:val="single" w:sz="4" w:space="0" w:color="auto"/>
              <w:right w:val="single" w:sz="4" w:space="0" w:color="auto"/>
            </w:tcBorders>
            <w:vAlign w:val="center"/>
          </w:tcPr>
          <w:p w:rsidR="009731C4" w:rsidRPr="00583A78" w:rsidRDefault="009731C4" w:rsidP="002C3AF5">
            <w:pPr>
              <w:jc w:val="both"/>
              <w:rPr>
                <w:color w:val="000000"/>
                <w:szCs w:val="28"/>
              </w:rPr>
            </w:pPr>
            <w:r w:rsidRPr="00583A78">
              <w:rPr>
                <w:color w:val="000000"/>
                <w:szCs w:val="28"/>
              </w:rPr>
              <w:t>Thống nhất với nội dung của bản Dự thảo</w:t>
            </w:r>
          </w:p>
        </w:tc>
      </w:tr>
      <w:tr w:rsidR="00A337CB" w:rsidRPr="00583A78" w:rsidTr="00426E6A">
        <w:tc>
          <w:tcPr>
            <w:tcW w:w="550" w:type="dxa"/>
            <w:tcBorders>
              <w:top w:val="single" w:sz="4" w:space="0" w:color="auto"/>
              <w:left w:val="single" w:sz="4" w:space="0" w:color="auto"/>
              <w:bottom w:val="single" w:sz="4" w:space="0" w:color="auto"/>
              <w:right w:val="single" w:sz="4" w:space="0" w:color="auto"/>
            </w:tcBorders>
            <w:vAlign w:val="center"/>
          </w:tcPr>
          <w:p w:rsidR="00A337CB" w:rsidRPr="00583A78" w:rsidRDefault="00891E30" w:rsidP="002C3AF5">
            <w:pPr>
              <w:jc w:val="center"/>
              <w:rPr>
                <w:szCs w:val="28"/>
              </w:rPr>
            </w:pPr>
            <w:r w:rsidRPr="00583A78">
              <w:rPr>
                <w:szCs w:val="28"/>
              </w:rPr>
              <w:t>6</w:t>
            </w:r>
          </w:p>
        </w:tc>
        <w:tc>
          <w:tcPr>
            <w:tcW w:w="1857" w:type="dxa"/>
            <w:tcBorders>
              <w:top w:val="single" w:sz="4" w:space="0" w:color="auto"/>
              <w:left w:val="single" w:sz="4" w:space="0" w:color="auto"/>
              <w:bottom w:val="single" w:sz="4" w:space="0" w:color="auto"/>
              <w:right w:val="single" w:sz="4" w:space="0" w:color="auto"/>
            </w:tcBorders>
            <w:vAlign w:val="center"/>
          </w:tcPr>
          <w:p w:rsidR="00A337CB" w:rsidRPr="00583A78" w:rsidRDefault="00A337CB" w:rsidP="002C3AF5">
            <w:pPr>
              <w:jc w:val="center"/>
              <w:rPr>
                <w:color w:val="000000"/>
                <w:szCs w:val="28"/>
              </w:rPr>
            </w:pPr>
            <w:r w:rsidRPr="00583A78">
              <w:rPr>
                <w:color w:val="000000"/>
                <w:szCs w:val="28"/>
              </w:rPr>
              <w:t>Ban Dân tộc</w:t>
            </w:r>
          </w:p>
        </w:tc>
        <w:tc>
          <w:tcPr>
            <w:tcW w:w="2127" w:type="dxa"/>
            <w:tcBorders>
              <w:top w:val="single" w:sz="4" w:space="0" w:color="auto"/>
              <w:left w:val="single" w:sz="4" w:space="0" w:color="auto"/>
              <w:bottom w:val="single" w:sz="4" w:space="0" w:color="auto"/>
              <w:right w:val="single" w:sz="4" w:space="0" w:color="auto"/>
            </w:tcBorders>
            <w:vAlign w:val="center"/>
          </w:tcPr>
          <w:p w:rsidR="00A337CB" w:rsidRPr="00583A78" w:rsidRDefault="00A337CB" w:rsidP="002C3AF5">
            <w:pPr>
              <w:jc w:val="center"/>
              <w:rPr>
                <w:color w:val="000000"/>
                <w:szCs w:val="28"/>
              </w:rPr>
            </w:pPr>
            <w:r w:rsidRPr="00583A78">
              <w:rPr>
                <w:color w:val="000000"/>
                <w:szCs w:val="28"/>
              </w:rPr>
              <w:t>446/BDT-NV</w:t>
            </w:r>
          </w:p>
        </w:tc>
        <w:tc>
          <w:tcPr>
            <w:tcW w:w="1683" w:type="dxa"/>
            <w:tcBorders>
              <w:top w:val="single" w:sz="4" w:space="0" w:color="auto"/>
              <w:left w:val="single" w:sz="4" w:space="0" w:color="auto"/>
              <w:bottom w:val="single" w:sz="4" w:space="0" w:color="auto"/>
              <w:right w:val="single" w:sz="4" w:space="0" w:color="auto"/>
            </w:tcBorders>
            <w:vAlign w:val="center"/>
          </w:tcPr>
          <w:p w:rsidR="00A337CB" w:rsidRPr="00583A78" w:rsidRDefault="00A337CB" w:rsidP="002C3AF5">
            <w:pPr>
              <w:jc w:val="center"/>
              <w:rPr>
                <w:color w:val="000000"/>
                <w:szCs w:val="28"/>
              </w:rPr>
            </w:pPr>
            <w:r w:rsidRPr="00583A78">
              <w:rPr>
                <w:color w:val="000000"/>
                <w:szCs w:val="28"/>
              </w:rPr>
              <w:t>26/6/2020</w:t>
            </w:r>
          </w:p>
        </w:tc>
        <w:tc>
          <w:tcPr>
            <w:tcW w:w="8525" w:type="dxa"/>
            <w:tcBorders>
              <w:top w:val="single" w:sz="4" w:space="0" w:color="auto"/>
              <w:left w:val="single" w:sz="4" w:space="0" w:color="auto"/>
              <w:bottom w:val="single" w:sz="4" w:space="0" w:color="auto"/>
              <w:right w:val="single" w:sz="4" w:space="0" w:color="auto"/>
            </w:tcBorders>
            <w:vAlign w:val="center"/>
          </w:tcPr>
          <w:p w:rsidR="00A337CB" w:rsidRPr="00583A78" w:rsidRDefault="00A337CB" w:rsidP="002C3AF5">
            <w:pPr>
              <w:jc w:val="both"/>
              <w:rPr>
                <w:szCs w:val="28"/>
              </w:rPr>
            </w:pPr>
            <w:r w:rsidRPr="00583A78">
              <w:rPr>
                <w:szCs w:val="28"/>
              </w:rPr>
              <w:t xml:space="preserve">Ban Dân tộc cơ bản đồng ý với việc tiếp tục tham mưu ban hành Nghị quyết mới thay thế Nghị quyết số 15/2014/NQ-HĐND, bởi đây là chính sách đặc thù, nhằm hỗ trợ cho các đối tượng yếu thế (dân tộc thiểu số tại chỗ và hộ nghèo, cận nghèo,…) để có cơ hội học nghề, </w:t>
            </w:r>
            <w:r w:rsidRPr="00583A78">
              <w:rPr>
                <w:color w:val="000000"/>
                <w:szCs w:val="28"/>
                <w:shd w:val="clear" w:color="auto" w:fill="FFFFFF"/>
              </w:rPr>
              <w:t>gắn với giải quyết việc làm,..</w:t>
            </w:r>
            <w:r w:rsidRPr="00583A78">
              <w:rPr>
                <w:szCs w:val="28"/>
              </w:rPr>
              <w:t xml:space="preserve">. </w:t>
            </w:r>
          </w:p>
          <w:p w:rsidR="00A337CB" w:rsidRPr="00583A78" w:rsidRDefault="00A337CB" w:rsidP="002C3AF5">
            <w:pPr>
              <w:jc w:val="both"/>
              <w:rPr>
                <w:color w:val="000000"/>
                <w:szCs w:val="28"/>
              </w:rPr>
            </w:pPr>
            <w:r w:rsidRPr="00583A78">
              <w:rPr>
                <w:szCs w:val="28"/>
              </w:rPr>
              <w:t>Trong bảng mô tả xây dựng Nghị quyết thay thế Nghị quyết số 15/2014/NQ-HĐND, đề nghị cơ quan soạn thảo bổ sung thêm nội dung đối tượng áp dụng: “</w:t>
            </w:r>
            <w:r w:rsidRPr="00583A78">
              <w:rPr>
                <w:color w:val="000000"/>
                <w:szCs w:val="28"/>
              </w:rPr>
              <w:t>Học sinh, sinh viên thuộc đối tượng là người dân tộc thiểu số khác, gia đình hộ nghèo, hộ cận nghèo”.</w:t>
            </w:r>
          </w:p>
          <w:p w:rsidR="00120B58" w:rsidRPr="00583A78" w:rsidRDefault="00120B58" w:rsidP="002C3AF5">
            <w:pPr>
              <w:jc w:val="both"/>
              <w:rPr>
                <w:szCs w:val="28"/>
              </w:rPr>
            </w:pPr>
            <w:r w:rsidRPr="00583A78">
              <w:rPr>
                <w:b/>
                <w:i/>
                <w:szCs w:val="28"/>
                <w:u w:val="single"/>
              </w:rPr>
              <w:t>Giải trình</w:t>
            </w:r>
            <w:r w:rsidR="00623877" w:rsidRPr="00583A78">
              <w:rPr>
                <w:b/>
                <w:i/>
                <w:szCs w:val="28"/>
                <w:u w:val="single"/>
              </w:rPr>
              <w:t>:</w:t>
            </w:r>
            <w:r w:rsidR="00623877" w:rsidRPr="00583A78">
              <w:rPr>
                <w:szCs w:val="28"/>
              </w:rPr>
              <w:t xml:space="preserve"> </w:t>
            </w:r>
            <w:r w:rsidR="00623877" w:rsidRPr="00583A78">
              <w:rPr>
                <w:szCs w:val="28"/>
                <w:lang w:val="nl-NL"/>
              </w:rPr>
              <w:t>Hiện nay, trên địa bàn tỉnh đang triển khai thực hiện các chính sách về hỗ trợ chi phí học tập cho trẻ em, học sinh, sinh viên, học viên</w:t>
            </w:r>
            <w:r w:rsidR="006E3644" w:rsidRPr="00583A78">
              <w:rPr>
                <w:szCs w:val="28"/>
                <w:lang w:val="nl-NL"/>
              </w:rPr>
              <w:t xml:space="preserve"> </w:t>
            </w:r>
            <w:r w:rsidR="006E3644" w:rsidRPr="00583A78">
              <w:rPr>
                <w:color w:val="000000"/>
                <w:szCs w:val="28"/>
              </w:rPr>
              <w:t xml:space="preserve">thuộc đối tượng là người dân tộc thiểu số khác, gia đình hộ nghèo, hộ cận nghèo </w:t>
            </w:r>
            <w:r w:rsidR="00623877" w:rsidRPr="00583A78">
              <w:rPr>
                <w:szCs w:val="28"/>
                <w:lang w:val="nl-NL"/>
              </w:rPr>
              <w:t xml:space="preserve">tại Nghị định số 86/2015/NĐ-CP ngày 02/10/2015 của Chính phủ </w:t>
            </w:r>
            <w:r w:rsidR="00623877" w:rsidRPr="00583A78">
              <w:rPr>
                <w:szCs w:val="28"/>
                <w:lang w:val="nl-NL"/>
              </w:rPr>
              <w:lastRenderedPageBreak/>
              <w:t xml:space="preserve">quy định về cơ chế thu, quản lý học phí đối với cơ sở giáo dục thuộc hệ thống giáo dục quốc dân và chính sách miễn, giảm học phí, hỗ trợ chi phí học tập từ năm học 2015-2016 đến năm học 2020-2021; Nghị định số 145/2018/NĐ-CP ngày 16/10/2018 của Chính phủ sửa đổi, bổ sung một số Điều của Nghị định số 86/2015/NĐ-CP ngày 02/10/2015 của Chính phủ; Quyết định số 66/2013/QĐ-TTg, ngày 11/11/2013 của Thủ tướng Chính phủ quy định chính sách hỗ trợ chi phí học tập đối với sinh viên là người dân tộc thiểu số tại các cơ sở giáo dục đại học; Nghị quyết số 31/2016/NQ-HĐND ngày 06/9/2016 của HĐND tỉnh ban hành chính sách hỗ trợ học sinh, sinh viên dân tộc thiểu số thuộc diện hộ nghèo, hộ cận nghèo tỉnh Đắk Nông từ năm học 2020-2021; Nghị định số 116/2016/NĐ-CP ngày 18/7/2016 của Chính phủ quy định chính sách hỗ trợ học sinh và trường phổ thông ở xã, thôn đặc biệt khó khăn; Nghị quyết </w:t>
            </w:r>
            <w:r w:rsidR="00623877" w:rsidRPr="00583A78">
              <w:rPr>
                <w:color w:val="000000"/>
                <w:szCs w:val="28"/>
                <w:shd w:val="clear" w:color="auto" w:fill="FEFAF4"/>
                <w:lang w:val="vi-VN"/>
              </w:rPr>
              <w:t>Số</w:t>
            </w:r>
            <w:r w:rsidR="00623877" w:rsidRPr="00583A78">
              <w:rPr>
                <w:color w:val="000000"/>
                <w:szCs w:val="28"/>
                <w:shd w:val="clear" w:color="auto" w:fill="FEFAF4"/>
              </w:rPr>
              <w:t xml:space="preserve"> 12/</w:t>
            </w:r>
            <w:r w:rsidR="00623877" w:rsidRPr="00583A78">
              <w:rPr>
                <w:color w:val="000000"/>
                <w:szCs w:val="28"/>
                <w:shd w:val="clear" w:color="auto" w:fill="FEFAF4"/>
                <w:lang w:val="vi-VN"/>
              </w:rPr>
              <w:t>2019/NQ-HĐND</w:t>
            </w:r>
            <w:r w:rsidR="00623877" w:rsidRPr="00583A78">
              <w:rPr>
                <w:color w:val="000000"/>
                <w:szCs w:val="28"/>
                <w:shd w:val="clear" w:color="auto" w:fill="FEFAF4"/>
              </w:rPr>
              <w:t xml:space="preserve"> ngày 19/7/2019 của Hội đồng nhân dân tỉnh về việc bổ sung một số chính sách thuộc chương trình giảm nghèo bền vững tỉnh Đắk Nông giai đoạn 2016-2020 ban hành kèm theo Nghị quyết số </w:t>
            </w:r>
            <w:hyperlink r:id="rId9" w:tgtFrame="_blank" w:tooltip="Nghị quyết 56/2016/NQ-HĐND" w:history="1">
              <w:r w:rsidR="00623877" w:rsidRPr="00583A78">
                <w:rPr>
                  <w:rStyle w:val="Hyperlink"/>
                  <w:szCs w:val="28"/>
                  <w:u w:val="none"/>
                  <w:shd w:val="clear" w:color="auto" w:fill="FEFAF4"/>
                </w:rPr>
                <w:t>56/2016/NQ-HĐND</w:t>
              </w:r>
            </w:hyperlink>
            <w:r w:rsidR="00623877" w:rsidRPr="00583A78">
              <w:rPr>
                <w:color w:val="000000"/>
                <w:szCs w:val="28"/>
                <w:shd w:val="clear" w:color="auto" w:fill="FEFAF4"/>
              </w:rPr>
              <w:t xml:space="preserve"> ngày 22 tháng 12 năm 2016 của Hội đồng nhân dân tỉnh Đắk Nông</w:t>
            </w:r>
            <w:r w:rsidR="006E3644" w:rsidRPr="00583A78">
              <w:rPr>
                <w:color w:val="000000"/>
                <w:szCs w:val="28"/>
                <w:shd w:val="clear" w:color="auto" w:fill="FEFAF4"/>
              </w:rPr>
              <w:t>. Vì vậy, Cơ quan soạn thảo không bổ sung các đối tượng trên vào nội dung chính sách.</w:t>
            </w:r>
          </w:p>
        </w:tc>
      </w:tr>
      <w:tr w:rsidR="00255BC2" w:rsidRPr="00583A78" w:rsidTr="00426E6A">
        <w:tc>
          <w:tcPr>
            <w:tcW w:w="550" w:type="dxa"/>
            <w:tcBorders>
              <w:top w:val="single" w:sz="4" w:space="0" w:color="auto"/>
              <w:left w:val="single" w:sz="4" w:space="0" w:color="auto"/>
              <w:bottom w:val="single" w:sz="4" w:space="0" w:color="auto"/>
              <w:right w:val="single" w:sz="4" w:space="0" w:color="auto"/>
            </w:tcBorders>
            <w:vAlign w:val="center"/>
          </w:tcPr>
          <w:p w:rsidR="00255BC2" w:rsidRPr="00583A78" w:rsidRDefault="00891E30" w:rsidP="002C3AF5">
            <w:pPr>
              <w:jc w:val="center"/>
              <w:rPr>
                <w:szCs w:val="28"/>
              </w:rPr>
            </w:pPr>
            <w:r w:rsidRPr="00583A78">
              <w:rPr>
                <w:szCs w:val="28"/>
              </w:rPr>
              <w:lastRenderedPageBreak/>
              <w:t>7</w:t>
            </w:r>
          </w:p>
        </w:tc>
        <w:tc>
          <w:tcPr>
            <w:tcW w:w="1857" w:type="dxa"/>
            <w:tcBorders>
              <w:top w:val="single" w:sz="4" w:space="0" w:color="auto"/>
              <w:left w:val="single" w:sz="4" w:space="0" w:color="auto"/>
              <w:bottom w:val="single" w:sz="4" w:space="0" w:color="auto"/>
              <w:right w:val="single" w:sz="4" w:space="0" w:color="auto"/>
            </w:tcBorders>
            <w:vAlign w:val="center"/>
          </w:tcPr>
          <w:p w:rsidR="00255BC2" w:rsidRPr="00583A78" w:rsidRDefault="00255BC2" w:rsidP="00F216CC">
            <w:pPr>
              <w:jc w:val="center"/>
              <w:rPr>
                <w:color w:val="000000"/>
                <w:szCs w:val="28"/>
              </w:rPr>
            </w:pPr>
            <w:r w:rsidRPr="00583A78">
              <w:rPr>
                <w:color w:val="000000"/>
                <w:szCs w:val="28"/>
              </w:rPr>
              <w:t xml:space="preserve">UBND </w:t>
            </w:r>
            <w:r w:rsidR="00F216CC">
              <w:rPr>
                <w:color w:val="000000"/>
                <w:szCs w:val="28"/>
              </w:rPr>
              <w:t>thành phố</w:t>
            </w:r>
            <w:r w:rsidRPr="00583A78">
              <w:rPr>
                <w:color w:val="000000"/>
                <w:szCs w:val="28"/>
              </w:rPr>
              <w:t xml:space="preserve"> Gia Nghĩa</w:t>
            </w:r>
          </w:p>
        </w:tc>
        <w:tc>
          <w:tcPr>
            <w:tcW w:w="2127" w:type="dxa"/>
            <w:tcBorders>
              <w:top w:val="single" w:sz="4" w:space="0" w:color="auto"/>
              <w:left w:val="single" w:sz="4" w:space="0" w:color="auto"/>
              <w:bottom w:val="single" w:sz="4" w:space="0" w:color="auto"/>
              <w:right w:val="single" w:sz="4" w:space="0" w:color="auto"/>
            </w:tcBorders>
            <w:vAlign w:val="center"/>
          </w:tcPr>
          <w:p w:rsidR="00255BC2" w:rsidRPr="00583A78" w:rsidRDefault="00A337CB" w:rsidP="002C3AF5">
            <w:pPr>
              <w:jc w:val="center"/>
              <w:rPr>
                <w:color w:val="000000"/>
                <w:szCs w:val="28"/>
              </w:rPr>
            </w:pPr>
            <w:r w:rsidRPr="00583A78">
              <w:rPr>
                <w:color w:val="000000"/>
                <w:szCs w:val="28"/>
              </w:rPr>
              <w:t>1246</w:t>
            </w:r>
            <w:r w:rsidR="00255BC2" w:rsidRPr="00583A78">
              <w:rPr>
                <w:color w:val="000000"/>
                <w:szCs w:val="28"/>
              </w:rPr>
              <w:t>/UBND-LĐTBXH</w:t>
            </w:r>
          </w:p>
        </w:tc>
        <w:tc>
          <w:tcPr>
            <w:tcW w:w="1683" w:type="dxa"/>
            <w:tcBorders>
              <w:top w:val="single" w:sz="4" w:space="0" w:color="auto"/>
              <w:left w:val="single" w:sz="4" w:space="0" w:color="auto"/>
              <w:bottom w:val="single" w:sz="4" w:space="0" w:color="auto"/>
              <w:right w:val="single" w:sz="4" w:space="0" w:color="auto"/>
            </w:tcBorders>
            <w:vAlign w:val="center"/>
          </w:tcPr>
          <w:p w:rsidR="00255BC2" w:rsidRPr="00583A78" w:rsidRDefault="00A337CB" w:rsidP="002C3AF5">
            <w:pPr>
              <w:jc w:val="center"/>
              <w:rPr>
                <w:color w:val="000000"/>
                <w:szCs w:val="28"/>
              </w:rPr>
            </w:pPr>
            <w:r w:rsidRPr="00583A78">
              <w:rPr>
                <w:color w:val="000000"/>
                <w:szCs w:val="28"/>
              </w:rPr>
              <w:t>01</w:t>
            </w:r>
            <w:r w:rsidR="00255BC2" w:rsidRPr="00583A78">
              <w:rPr>
                <w:color w:val="000000"/>
                <w:szCs w:val="28"/>
              </w:rPr>
              <w:t>/</w:t>
            </w:r>
            <w:r w:rsidRPr="00583A78">
              <w:rPr>
                <w:color w:val="000000"/>
                <w:szCs w:val="28"/>
              </w:rPr>
              <w:t>7</w:t>
            </w:r>
            <w:r w:rsidR="00255BC2" w:rsidRPr="00583A78">
              <w:rPr>
                <w:color w:val="000000"/>
                <w:szCs w:val="28"/>
              </w:rPr>
              <w:t>/20</w:t>
            </w:r>
            <w:r w:rsidRPr="00583A78">
              <w:rPr>
                <w:color w:val="000000"/>
                <w:szCs w:val="28"/>
              </w:rPr>
              <w:t>20</w:t>
            </w:r>
          </w:p>
        </w:tc>
        <w:tc>
          <w:tcPr>
            <w:tcW w:w="8525" w:type="dxa"/>
            <w:tcBorders>
              <w:top w:val="single" w:sz="4" w:space="0" w:color="auto"/>
              <w:left w:val="single" w:sz="4" w:space="0" w:color="auto"/>
              <w:bottom w:val="single" w:sz="4" w:space="0" w:color="auto"/>
              <w:right w:val="single" w:sz="4" w:space="0" w:color="auto"/>
            </w:tcBorders>
            <w:vAlign w:val="center"/>
          </w:tcPr>
          <w:p w:rsidR="00255BC2" w:rsidRPr="00583A78" w:rsidRDefault="00D14F68" w:rsidP="002C3AF5">
            <w:pPr>
              <w:jc w:val="both"/>
              <w:rPr>
                <w:color w:val="000000"/>
                <w:szCs w:val="28"/>
              </w:rPr>
            </w:pPr>
            <w:r w:rsidRPr="00583A78">
              <w:rPr>
                <w:color w:val="000000"/>
                <w:szCs w:val="28"/>
              </w:rPr>
              <w:t>Thống nhất với nội dung của bản Dự thảo</w:t>
            </w:r>
          </w:p>
        </w:tc>
      </w:tr>
      <w:tr w:rsidR="00255BC2" w:rsidRPr="00583A78" w:rsidTr="00426E6A">
        <w:tc>
          <w:tcPr>
            <w:tcW w:w="550" w:type="dxa"/>
            <w:tcBorders>
              <w:top w:val="single" w:sz="4" w:space="0" w:color="auto"/>
              <w:left w:val="single" w:sz="4" w:space="0" w:color="auto"/>
              <w:bottom w:val="single" w:sz="4" w:space="0" w:color="auto"/>
              <w:right w:val="single" w:sz="4" w:space="0" w:color="auto"/>
            </w:tcBorders>
            <w:vAlign w:val="center"/>
          </w:tcPr>
          <w:p w:rsidR="00255BC2" w:rsidRPr="00583A78" w:rsidRDefault="00891E30" w:rsidP="002C3AF5">
            <w:pPr>
              <w:jc w:val="center"/>
              <w:rPr>
                <w:szCs w:val="28"/>
              </w:rPr>
            </w:pPr>
            <w:r w:rsidRPr="00583A78">
              <w:rPr>
                <w:szCs w:val="28"/>
              </w:rPr>
              <w:t>8</w:t>
            </w:r>
          </w:p>
        </w:tc>
        <w:tc>
          <w:tcPr>
            <w:tcW w:w="1857" w:type="dxa"/>
            <w:tcBorders>
              <w:top w:val="single" w:sz="4" w:space="0" w:color="auto"/>
              <w:left w:val="single" w:sz="4" w:space="0" w:color="auto"/>
              <w:bottom w:val="single" w:sz="4" w:space="0" w:color="auto"/>
              <w:right w:val="single" w:sz="4" w:space="0" w:color="auto"/>
            </w:tcBorders>
            <w:vAlign w:val="center"/>
          </w:tcPr>
          <w:p w:rsidR="00255BC2" w:rsidRPr="00583A78" w:rsidRDefault="00255BC2" w:rsidP="00F216CC">
            <w:pPr>
              <w:jc w:val="center"/>
              <w:rPr>
                <w:color w:val="000000"/>
                <w:szCs w:val="28"/>
              </w:rPr>
            </w:pPr>
            <w:r w:rsidRPr="00583A78">
              <w:rPr>
                <w:color w:val="000000"/>
                <w:szCs w:val="28"/>
              </w:rPr>
              <w:t>UBND huyện Đắk G</w:t>
            </w:r>
            <w:r w:rsidR="00F216CC">
              <w:rPr>
                <w:color w:val="000000"/>
                <w:szCs w:val="28"/>
              </w:rPr>
              <w:t>l</w:t>
            </w:r>
            <w:r w:rsidRPr="00583A78">
              <w:rPr>
                <w:color w:val="000000"/>
                <w:szCs w:val="28"/>
              </w:rPr>
              <w:t>ong</w:t>
            </w:r>
          </w:p>
        </w:tc>
        <w:tc>
          <w:tcPr>
            <w:tcW w:w="2127" w:type="dxa"/>
            <w:tcBorders>
              <w:top w:val="single" w:sz="4" w:space="0" w:color="auto"/>
              <w:left w:val="single" w:sz="4" w:space="0" w:color="auto"/>
              <w:bottom w:val="single" w:sz="4" w:space="0" w:color="auto"/>
              <w:right w:val="single" w:sz="4" w:space="0" w:color="auto"/>
            </w:tcBorders>
            <w:vAlign w:val="center"/>
          </w:tcPr>
          <w:p w:rsidR="00255BC2" w:rsidRPr="00583A78" w:rsidRDefault="00A337CB" w:rsidP="002C3AF5">
            <w:pPr>
              <w:jc w:val="center"/>
              <w:rPr>
                <w:color w:val="000000"/>
                <w:szCs w:val="28"/>
              </w:rPr>
            </w:pPr>
            <w:r w:rsidRPr="00583A78">
              <w:rPr>
                <w:color w:val="000000"/>
                <w:szCs w:val="28"/>
              </w:rPr>
              <w:t>2199</w:t>
            </w:r>
            <w:r w:rsidR="00255BC2" w:rsidRPr="00583A78">
              <w:rPr>
                <w:color w:val="000000"/>
                <w:szCs w:val="28"/>
              </w:rPr>
              <w:t>/UBND-LĐTBXH</w:t>
            </w:r>
          </w:p>
        </w:tc>
        <w:tc>
          <w:tcPr>
            <w:tcW w:w="1683" w:type="dxa"/>
            <w:tcBorders>
              <w:top w:val="single" w:sz="4" w:space="0" w:color="auto"/>
              <w:left w:val="single" w:sz="4" w:space="0" w:color="auto"/>
              <w:bottom w:val="single" w:sz="4" w:space="0" w:color="auto"/>
              <w:right w:val="single" w:sz="4" w:space="0" w:color="auto"/>
            </w:tcBorders>
            <w:vAlign w:val="center"/>
          </w:tcPr>
          <w:p w:rsidR="00255BC2" w:rsidRPr="00583A78" w:rsidRDefault="00A337CB" w:rsidP="002C3AF5">
            <w:pPr>
              <w:jc w:val="center"/>
              <w:rPr>
                <w:color w:val="000000"/>
                <w:szCs w:val="28"/>
              </w:rPr>
            </w:pPr>
            <w:r w:rsidRPr="00583A78">
              <w:rPr>
                <w:color w:val="000000"/>
                <w:szCs w:val="28"/>
              </w:rPr>
              <w:t>01</w:t>
            </w:r>
            <w:r w:rsidR="00255BC2" w:rsidRPr="00583A78">
              <w:rPr>
                <w:color w:val="000000"/>
                <w:szCs w:val="28"/>
              </w:rPr>
              <w:t>/</w:t>
            </w:r>
            <w:r w:rsidRPr="00583A78">
              <w:rPr>
                <w:color w:val="000000"/>
                <w:szCs w:val="28"/>
              </w:rPr>
              <w:t>7</w:t>
            </w:r>
            <w:r w:rsidR="00255BC2" w:rsidRPr="00583A78">
              <w:rPr>
                <w:color w:val="000000"/>
                <w:szCs w:val="28"/>
              </w:rPr>
              <w:t>/20</w:t>
            </w:r>
            <w:r w:rsidRPr="00583A78">
              <w:rPr>
                <w:color w:val="000000"/>
                <w:szCs w:val="28"/>
              </w:rPr>
              <w:t>20</w:t>
            </w:r>
          </w:p>
        </w:tc>
        <w:tc>
          <w:tcPr>
            <w:tcW w:w="8525" w:type="dxa"/>
            <w:tcBorders>
              <w:top w:val="single" w:sz="4" w:space="0" w:color="auto"/>
              <w:left w:val="single" w:sz="4" w:space="0" w:color="auto"/>
              <w:bottom w:val="single" w:sz="4" w:space="0" w:color="auto"/>
              <w:right w:val="single" w:sz="4" w:space="0" w:color="auto"/>
            </w:tcBorders>
            <w:vAlign w:val="center"/>
          </w:tcPr>
          <w:p w:rsidR="00255BC2" w:rsidRPr="00583A78" w:rsidRDefault="00D14F68" w:rsidP="002C3AF5">
            <w:pPr>
              <w:jc w:val="both"/>
              <w:rPr>
                <w:color w:val="000000"/>
                <w:szCs w:val="28"/>
                <w:lang w:val="vi-VN"/>
              </w:rPr>
            </w:pPr>
            <w:r w:rsidRPr="00583A78">
              <w:rPr>
                <w:color w:val="000000"/>
                <w:szCs w:val="28"/>
              </w:rPr>
              <w:t>Thống nhất với nội dung của bản Dự thảo</w:t>
            </w:r>
          </w:p>
        </w:tc>
      </w:tr>
      <w:tr w:rsidR="00B37695" w:rsidRPr="00583A78" w:rsidTr="00426E6A">
        <w:tc>
          <w:tcPr>
            <w:tcW w:w="550" w:type="dxa"/>
            <w:tcBorders>
              <w:top w:val="single" w:sz="4" w:space="0" w:color="auto"/>
              <w:left w:val="single" w:sz="4" w:space="0" w:color="auto"/>
              <w:bottom w:val="single" w:sz="4" w:space="0" w:color="auto"/>
              <w:right w:val="single" w:sz="4" w:space="0" w:color="auto"/>
            </w:tcBorders>
            <w:vAlign w:val="center"/>
          </w:tcPr>
          <w:p w:rsidR="00B37695" w:rsidRPr="00583A78" w:rsidRDefault="00B37695" w:rsidP="002C3AF5">
            <w:pPr>
              <w:jc w:val="center"/>
              <w:rPr>
                <w:szCs w:val="28"/>
              </w:rPr>
            </w:pPr>
            <w:r w:rsidRPr="00583A78">
              <w:rPr>
                <w:szCs w:val="28"/>
              </w:rPr>
              <w:t>9</w:t>
            </w:r>
          </w:p>
        </w:tc>
        <w:tc>
          <w:tcPr>
            <w:tcW w:w="1857" w:type="dxa"/>
            <w:tcBorders>
              <w:top w:val="single" w:sz="4" w:space="0" w:color="auto"/>
              <w:left w:val="single" w:sz="4" w:space="0" w:color="auto"/>
              <w:bottom w:val="single" w:sz="4" w:space="0" w:color="auto"/>
              <w:right w:val="single" w:sz="4" w:space="0" w:color="auto"/>
            </w:tcBorders>
            <w:vAlign w:val="center"/>
          </w:tcPr>
          <w:p w:rsidR="00B37695" w:rsidRPr="00583A78" w:rsidRDefault="00B37695" w:rsidP="002C3AF5">
            <w:pPr>
              <w:jc w:val="center"/>
              <w:rPr>
                <w:color w:val="000000"/>
                <w:szCs w:val="28"/>
              </w:rPr>
            </w:pPr>
            <w:r w:rsidRPr="00583A78">
              <w:rPr>
                <w:color w:val="000000"/>
                <w:szCs w:val="28"/>
              </w:rPr>
              <w:t>UBND huyện Tuy Đức</w:t>
            </w:r>
          </w:p>
        </w:tc>
        <w:tc>
          <w:tcPr>
            <w:tcW w:w="2127" w:type="dxa"/>
            <w:tcBorders>
              <w:top w:val="single" w:sz="4" w:space="0" w:color="auto"/>
              <w:left w:val="single" w:sz="4" w:space="0" w:color="auto"/>
              <w:bottom w:val="single" w:sz="4" w:space="0" w:color="auto"/>
              <w:right w:val="single" w:sz="4" w:space="0" w:color="auto"/>
            </w:tcBorders>
            <w:vAlign w:val="center"/>
          </w:tcPr>
          <w:p w:rsidR="00B37695" w:rsidRPr="00583A78" w:rsidRDefault="00B37695" w:rsidP="002C3AF5">
            <w:pPr>
              <w:jc w:val="center"/>
              <w:rPr>
                <w:color w:val="000000"/>
                <w:szCs w:val="28"/>
              </w:rPr>
            </w:pPr>
            <w:r w:rsidRPr="00583A78">
              <w:rPr>
                <w:color w:val="000000"/>
                <w:szCs w:val="28"/>
              </w:rPr>
              <w:t>2199/UBND-LĐTBXH</w:t>
            </w:r>
          </w:p>
        </w:tc>
        <w:tc>
          <w:tcPr>
            <w:tcW w:w="1683" w:type="dxa"/>
            <w:tcBorders>
              <w:top w:val="single" w:sz="4" w:space="0" w:color="auto"/>
              <w:left w:val="single" w:sz="4" w:space="0" w:color="auto"/>
              <w:bottom w:val="single" w:sz="4" w:space="0" w:color="auto"/>
              <w:right w:val="single" w:sz="4" w:space="0" w:color="auto"/>
            </w:tcBorders>
            <w:vAlign w:val="center"/>
          </w:tcPr>
          <w:p w:rsidR="00B37695" w:rsidRPr="00583A78" w:rsidRDefault="00B37695" w:rsidP="002C3AF5">
            <w:pPr>
              <w:jc w:val="center"/>
              <w:rPr>
                <w:color w:val="000000"/>
                <w:szCs w:val="28"/>
              </w:rPr>
            </w:pPr>
            <w:r w:rsidRPr="00583A78">
              <w:rPr>
                <w:color w:val="000000"/>
                <w:szCs w:val="28"/>
              </w:rPr>
              <w:t>01/7/2020</w:t>
            </w:r>
          </w:p>
        </w:tc>
        <w:tc>
          <w:tcPr>
            <w:tcW w:w="8525" w:type="dxa"/>
            <w:tcBorders>
              <w:top w:val="single" w:sz="4" w:space="0" w:color="auto"/>
              <w:left w:val="single" w:sz="4" w:space="0" w:color="auto"/>
              <w:bottom w:val="single" w:sz="4" w:space="0" w:color="auto"/>
              <w:right w:val="single" w:sz="4" w:space="0" w:color="auto"/>
            </w:tcBorders>
            <w:vAlign w:val="center"/>
          </w:tcPr>
          <w:p w:rsidR="00B37695" w:rsidRPr="00583A78" w:rsidRDefault="00B37695" w:rsidP="002C3AF5">
            <w:pPr>
              <w:jc w:val="both"/>
              <w:rPr>
                <w:color w:val="000000"/>
                <w:szCs w:val="28"/>
                <w:lang w:val="vi-VN"/>
              </w:rPr>
            </w:pPr>
            <w:r w:rsidRPr="00583A78">
              <w:rPr>
                <w:color w:val="000000"/>
                <w:szCs w:val="28"/>
              </w:rPr>
              <w:t>Thống nhất với nội dung của bản Dự thảo</w:t>
            </w:r>
          </w:p>
        </w:tc>
      </w:tr>
      <w:tr w:rsidR="00B37695" w:rsidRPr="00583A78" w:rsidTr="00426E6A">
        <w:tc>
          <w:tcPr>
            <w:tcW w:w="550" w:type="dxa"/>
            <w:tcBorders>
              <w:top w:val="single" w:sz="4" w:space="0" w:color="auto"/>
              <w:left w:val="single" w:sz="4" w:space="0" w:color="auto"/>
              <w:bottom w:val="single" w:sz="4" w:space="0" w:color="auto"/>
              <w:right w:val="single" w:sz="4" w:space="0" w:color="auto"/>
            </w:tcBorders>
            <w:vAlign w:val="center"/>
            <w:hideMark/>
          </w:tcPr>
          <w:p w:rsidR="00B37695" w:rsidRPr="00583A78" w:rsidRDefault="00B37695" w:rsidP="002C3AF5">
            <w:pPr>
              <w:jc w:val="center"/>
              <w:rPr>
                <w:szCs w:val="28"/>
              </w:rPr>
            </w:pPr>
            <w:r w:rsidRPr="00583A78">
              <w:rPr>
                <w:szCs w:val="28"/>
              </w:rPr>
              <w:t>10</w:t>
            </w:r>
          </w:p>
        </w:tc>
        <w:tc>
          <w:tcPr>
            <w:tcW w:w="1857" w:type="dxa"/>
            <w:tcBorders>
              <w:top w:val="single" w:sz="4" w:space="0" w:color="auto"/>
              <w:left w:val="single" w:sz="4" w:space="0" w:color="auto"/>
              <w:bottom w:val="single" w:sz="4" w:space="0" w:color="auto"/>
              <w:right w:val="single" w:sz="4" w:space="0" w:color="auto"/>
            </w:tcBorders>
            <w:vAlign w:val="center"/>
            <w:hideMark/>
          </w:tcPr>
          <w:p w:rsidR="00B37695" w:rsidRPr="00583A78" w:rsidRDefault="00B37695" w:rsidP="002C3AF5">
            <w:pPr>
              <w:jc w:val="center"/>
              <w:rPr>
                <w:color w:val="000000"/>
                <w:szCs w:val="28"/>
              </w:rPr>
            </w:pPr>
            <w:r w:rsidRPr="00583A78">
              <w:rPr>
                <w:color w:val="000000"/>
                <w:szCs w:val="28"/>
              </w:rPr>
              <w:t>Phòng LĐTBXH huyện Cư Jút</w:t>
            </w:r>
          </w:p>
        </w:tc>
        <w:tc>
          <w:tcPr>
            <w:tcW w:w="2127" w:type="dxa"/>
            <w:tcBorders>
              <w:top w:val="single" w:sz="4" w:space="0" w:color="auto"/>
              <w:left w:val="single" w:sz="4" w:space="0" w:color="auto"/>
              <w:bottom w:val="single" w:sz="4" w:space="0" w:color="auto"/>
              <w:right w:val="single" w:sz="4" w:space="0" w:color="auto"/>
            </w:tcBorders>
            <w:vAlign w:val="center"/>
            <w:hideMark/>
          </w:tcPr>
          <w:p w:rsidR="00B37695" w:rsidRPr="00583A78" w:rsidRDefault="00B37695" w:rsidP="002C3AF5">
            <w:pPr>
              <w:jc w:val="center"/>
              <w:rPr>
                <w:color w:val="000000"/>
                <w:szCs w:val="28"/>
              </w:rPr>
            </w:pPr>
            <w:r w:rsidRPr="00583A78">
              <w:rPr>
                <w:color w:val="000000"/>
                <w:szCs w:val="28"/>
              </w:rPr>
              <w:t>115/LĐTBXH-LĐVL</w:t>
            </w:r>
          </w:p>
        </w:tc>
        <w:tc>
          <w:tcPr>
            <w:tcW w:w="1683" w:type="dxa"/>
            <w:tcBorders>
              <w:top w:val="single" w:sz="4" w:space="0" w:color="auto"/>
              <w:left w:val="single" w:sz="4" w:space="0" w:color="auto"/>
              <w:bottom w:val="single" w:sz="4" w:space="0" w:color="auto"/>
              <w:right w:val="single" w:sz="4" w:space="0" w:color="auto"/>
            </w:tcBorders>
            <w:vAlign w:val="center"/>
            <w:hideMark/>
          </w:tcPr>
          <w:p w:rsidR="00B37695" w:rsidRPr="00583A78" w:rsidRDefault="00B37695" w:rsidP="002C3AF5">
            <w:pPr>
              <w:jc w:val="center"/>
              <w:rPr>
                <w:color w:val="000000"/>
                <w:szCs w:val="28"/>
              </w:rPr>
            </w:pPr>
            <w:r w:rsidRPr="00583A78">
              <w:rPr>
                <w:color w:val="000000"/>
                <w:szCs w:val="28"/>
              </w:rPr>
              <w:t>29/6/2020</w:t>
            </w:r>
          </w:p>
        </w:tc>
        <w:tc>
          <w:tcPr>
            <w:tcW w:w="8525" w:type="dxa"/>
            <w:tcBorders>
              <w:top w:val="single" w:sz="4" w:space="0" w:color="auto"/>
              <w:left w:val="single" w:sz="4" w:space="0" w:color="auto"/>
              <w:bottom w:val="single" w:sz="4" w:space="0" w:color="auto"/>
              <w:right w:val="single" w:sz="4" w:space="0" w:color="auto"/>
            </w:tcBorders>
            <w:vAlign w:val="center"/>
            <w:hideMark/>
          </w:tcPr>
          <w:p w:rsidR="00B37695" w:rsidRPr="00583A78" w:rsidRDefault="00B37695" w:rsidP="002C3AF5">
            <w:pPr>
              <w:jc w:val="both"/>
              <w:rPr>
                <w:color w:val="000000"/>
                <w:szCs w:val="28"/>
              </w:rPr>
            </w:pPr>
            <w:r w:rsidRPr="00583A78">
              <w:rPr>
                <w:color w:val="000000"/>
                <w:szCs w:val="28"/>
              </w:rPr>
              <w:t>Thống nhất với nội dung của bản Dự thảo</w:t>
            </w:r>
          </w:p>
        </w:tc>
      </w:tr>
    </w:tbl>
    <w:p w:rsidR="008221A2" w:rsidRPr="00583A78" w:rsidRDefault="008221A2" w:rsidP="002C3AF5">
      <w:pPr>
        <w:rPr>
          <w:szCs w:val="28"/>
        </w:rPr>
      </w:pPr>
    </w:p>
    <w:p w:rsidR="001D7B45" w:rsidRPr="00583A78" w:rsidRDefault="001D7B45" w:rsidP="002C3AF5">
      <w:pPr>
        <w:rPr>
          <w:szCs w:val="28"/>
        </w:rPr>
      </w:pPr>
      <w:r w:rsidRPr="00583A78">
        <w:rPr>
          <w:szCs w:val="28"/>
        </w:rPr>
        <w:br w:type="page"/>
      </w:r>
    </w:p>
    <w:p w:rsidR="001D7B45" w:rsidRPr="00583A78" w:rsidRDefault="001D7B45" w:rsidP="002C3AF5">
      <w:pPr>
        <w:jc w:val="center"/>
        <w:rPr>
          <w:b/>
          <w:szCs w:val="28"/>
        </w:rPr>
      </w:pPr>
      <w:r w:rsidRPr="00583A78">
        <w:rPr>
          <w:b/>
          <w:szCs w:val="28"/>
        </w:rPr>
        <w:lastRenderedPageBreak/>
        <w:t>BẢNG TỔNG HỢP Ý KIẾN GÓP Ý</w:t>
      </w:r>
    </w:p>
    <w:p w:rsidR="001D7B45" w:rsidRPr="00583A78" w:rsidRDefault="001D7B45" w:rsidP="002C3AF5">
      <w:pPr>
        <w:jc w:val="center"/>
        <w:rPr>
          <w:b/>
          <w:szCs w:val="28"/>
        </w:rPr>
      </w:pPr>
      <w:r w:rsidRPr="00583A78">
        <w:rPr>
          <w:b/>
          <w:szCs w:val="28"/>
        </w:rPr>
        <w:t xml:space="preserve"> Về việc bàn hành Nghị quyết thay thế Nghị quyết số 15/2014/NQ-HĐND </w:t>
      </w:r>
      <w:r w:rsidRPr="00583A78">
        <w:rPr>
          <w:szCs w:val="28"/>
        </w:rPr>
        <w:t>(Lần 2)</w:t>
      </w:r>
    </w:p>
    <w:p w:rsidR="001D7B45" w:rsidRPr="00583A78" w:rsidRDefault="001D7B45" w:rsidP="002C3AF5">
      <w:pPr>
        <w:jc w:val="center"/>
        <w:rPr>
          <w:szCs w:val="28"/>
        </w:rPr>
      </w:pPr>
      <w:r w:rsidRPr="00583A78">
        <w:rPr>
          <w:noProof/>
          <w:szCs w:val="28"/>
        </w:rPr>
        <mc:AlternateContent>
          <mc:Choice Requires="wps">
            <w:drawing>
              <wp:anchor distT="0" distB="0" distL="114300" distR="114300" simplePos="0" relativeHeight="251661312" behindDoc="0" locked="0" layoutInCell="1" allowOverlap="1" wp14:anchorId="35234753" wp14:editId="25740CC0">
                <wp:simplePos x="0" y="0"/>
                <wp:positionH relativeFrom="column">
                  <wp:posOffset>3202305</wp:posOffset>
                </wp:positionH>
                <wp:positionV relativeFrom="paragraph">
                  <wp:posOffset>36830</wp:posOffset>
                </wp:positionV>
                <wp:extent cx="3124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124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2.15pt,2.9pt" to="498.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" strokecolor="#4579b8 [3044]"/>
            </w:pict>
          </mc:Fallback>
        </mc:AlternateContent>
      </w:r>
      <w:r w:rsidRPr="00583A78">
        <w:rPr>
          <w:i/>
          <w:szCs w:val="28"/>
        </w:rPr>
        <w:t xml:space="preserve"> </w:t>
      </w:r>
    </w:p>
    <w:p w:rsidR="001D7B45" w:rsidRPr="00583A78" w:rsidRDefault="001D7B45" w:rsidP="002C3AF5">
      <w:pPr>
        <w:rPr>
          <w:szCs w:val="28"/>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1857"/>
        <w:gridCol w:w="2127"/>
        <w:gridCol w:w="1683"/>
        <w:gridCol w:w="8525"/>
      </w:tblGrid>
      <w:tr w:rsidR="001D7B45" w:rsidRPr="00583A78" w:rsidTr="005E3596">
        <w:tc>
          <w:tcPr>
            <w:tcW w:w="550" w:type="dxa"/>
            <w:tcBorders>
              <w:top w:val="single" w:sz="4" w:space="0" w:color="auto"/>
              <w:left w:val="single" w:sz="4" w:space="0" w:color="auto"/>
              <w:bottom w:val="single" w:sz="4" w:space="0" w:color="auto"/>
              <w:right w:val="single" w:sz="4" w:space="0" w:color="auto"/>
            </w:tcBorders>
            <w:vAlign w:val="center"/>
            <w:hideMark/>
          </w:tcPr>
          <w:p w:rsidR="001D7B45" w:rsidRPr="00583A78" w:rsidRDefault="001D7B45" w:rsidP="002C3AF5">
            <w:pPr>
              <w:jc w:val="center"/>
              <w:rPr>
                <w:b/>
                <w:szCs w:val="28"/>
              </w:rPr>
            </w:pPr>
            <w:r w:rsidRPr="00583A78">
              <w:rPr>
                <w:b/>
                <w:szCs w:val="28"/>
              </w:rPr>
              <w:t>Stt</w:t>
            </w:r>
          </w:p>
        </w:tc>
        <w:tc>
          <w:tcPr>
            <w:tcW w:w="1857" w:type="dxa"/>
            <w:tcBorders>
              <w:top w:val="single" w:sz="4" w:space="0" w:color="auto"/>
              <w:left w:val="single" w:sz="4" w:space="0" w:color="auto"/>
              <w:bottom w:val="single" w:sz="4" w:space="0" w:color="auto"/>
              <w:right w:val="single" w:sz="4" w:space="0" w:color="auto"/>
            </w:tcBorders>
            <w:vAlign w:val="center"/>
            <w:hideMark/>
          </w:tcPr>
          <w:p w:rsidR="001D7B45" w:rsidRPr="00583A78" w:rsidRDefault="001D7B45" w:rsidP="002C3AF5">
            <w:pPr>
              <w:jc w:val="center"/>
              <w:rPr>
                <w:b/>
                <w:szCs w:val="28"/>
              </w:rPr>
            </w:pPr>
            <w:r w:rsidRPr="00583A78">
              <w:rPr>
                <w:b/>
                <w:szCs w:val="28"/>
              </w:rPr>
              <w:t>Đơn vị góp ý</w:t>
            </w:r>
          </w:p>
        </w:tc>
        <w:tc>
          <w:tcPr>
            <w:tcW w:w="2127" w:type="dxa"/>
            <w:tcBorders>
              <w:top w:val="single" w:sz="4" w:space="0" w:color="auto"/>
              <w:left w:val="single" w:sz="4" w:space="0" w:color="auto"/>
              <w:bottom w:val="single" w:sz="4" w:space="0" w:color="auto"/>
              <w:right w:val="single" w:sz="4" w:space="0" w:color="auto"/>
            </w:tcBorders>
            <w:vAlign w:val="center"/>
            <w:hideMark/>
          </w:tcPr>
          <w:p w:rsidR="001D7B45" w:rsidRPr="00583A78" w:rsidRDefault="001D7B45" w:rsidP="002C3AF5">
            <w:pPr>
              <w:jc w:val="center"/>
              <w:rPr>
                <w:b/>
                <w:szCs w:val="28"/>
              </w:rPr>
            </w:pPr>
            <w:r w:rsidRPr="00583A78">
              <w:rPr>
                <w:b/>
                <w:szCs w:val="28"/>
              </w:rPr>
              <w:t>Số văn bản</w:t>
            </w:r>
          </w:p>
        </w:tc>
        <w:tc>
          <w:tcPr>
            <w:tcW w:w="1683" w:type="dxa"/>
            <w:tcBorders>
              <w:top w:val="single" w:sz="4" w:space="0" w:color="auto"/>
              <w:left w:val="single" w:sz="4" w:space="0" w:color="auto"/>
              <w:bottom w:val="single" w:sz="4" w:space="0" w:color="auto"/>
              <w:right w:val="single" w:sz="4" w:space="0" w:color="auto"/>
            </w:tcBorders>
            <w:vAlign w:val="center"/>
            <w:hideMark/>
          </w:tcPr>
          <w:p w:rsidR="001D7B45" w:rsidRPr="00583A78" w:rsidRDefault="001D7B45" w:rsidP="002C3AF5">
            <w:pPr>
              <w:jc w:val="center"/>
              <w:rPr>
                <w:b/>
                <w:szCs w:val="28"/>
              </w:rPr>
            </w:pPr>
            <w:r w:rsidRPr="00583A78">
              <w:rPr>
                <w:b/>
                <w:szCs w:val="28"/>
              </w:rPr>
              <w:t>Ngày ban hành</w:t>
            </w:r>
          </w:p>
        </w:tc>
        <w:tc>
          <w:tcPr>
            <w:tcW w:w="8525" w:type="dxa"/>
            <w:tcBorders>
              <w:top w:val="single" w:sz="4" w:space="0" w:color="auto"/>
              <w:left w:val="single" w:sz="4" w:space="0" w:color="auto"/>
              <w:bottom w:val="single" w:sz="4" w:space="0" w:color="auto"/>
              <w:right w:val="single" w:sz="4" w:space="0" w:color="auto"/>
            </w:tcBorders>
            <w:vAlign w:val="center"/>
            <w:hideMark/>
          </w:tcPr>
          <w:p w:rsidR="001D7B45" w:rsidRPr="00583A78" w:rsidRDefault="001D7B45" w:rsidP="002C3AF5">
            <w:pPr>
              <w:jc w:val="center"/>
              <w:rPr>
                <w:b/>
                <w:szCs w:val="28"/>
              </w:rPr>
            </w:pPr>
            <w:r w:rsidRPr="00583A78">
              <w:rPr>
                <w:b/>
                <w:szCs w:val="28"/>
              </w:rPr>
              <w:t>Nội dung góp ý</w:t>
            </w:r>
          </w:p>
        </w:tc>
      </w:tr>
      <w:tr w:rsidR="001D7B45" w:rsidRPr="001A4677" w:rsidTr="005E3596">
        <w:tc>
          <w:tcPr>
            <w:tcW w:w="550" w:type="dxa"/>
            <w:tcBorders>
              <w:top w:val="single" w:sz="4" w:space="0" w:color="auto"/>
              <w:left w:val="single" w:sz="4" w:space="0" w:color="auto"/>
              <w:bottom w:val="single" w:sz="4" w:space="0" w:color="auto"/>
              <w:right w:val="single" w:sz="4" w:space="0" w:color="auto"/>
            </w:tcBorders>
            <w:vAlign w:val="center"/>
            <w:hideMark/>
          </w:tcPr>
          <w:p w:rsidR="001D7B45" w:rsidRPr="001A4677" w:rsidRDefault="001D7B45" w:rsidP="002C3AF5">
            <w:pPr>
              <w:jc w:val="center"/>
              <w:rPr>
                <w:szCs w:val="28"/>
              </w:rPr>
            </w:pPr>
            <w:r w:rsidRPr="001A4677">
              <w:rPr>
                <w:szCs w:val="28"/>
              </w:rPr>
              <w:t>1</w:t>
            </w:r>
          </w:p>
        </w:tc>
        <w:tc>
          <w:tcPr>
            <w:tcW w:w="1857" w:type="dxa"/>
            <w:tcBorders>
              <w:top w:val="single" w:sz="4" w:space="0" w:color="auto"/>
              <w:left w:val="single" w:sz="4" w:space="0" w:color="auto"/>
              <w:bottom w:val="single" w:sz="4" w:space="0" w:color="auto"/>
              <w:right w:val="single" w:sz="4" w:space="0" w:color="auto"/>
            </w:tcBorders>
            <w:vAlign w:val="center"/>
            <w:hideMark/>
          </w:tcPr>
          <w:p w:rsidR="001D7B45" w:rsidRPr="001A4677" w:rsidRDefault="001D7B45" w:rsidP="002C3AF5">
            <w:pPr>
              <w:jc w:val="center"/>
              <w:rPr>
                <w:szCs w:val="28"/>
              </w:rPr>
            </w:pPr>
            <w:r w:rsidRPr="001A4677">
              <w:rPr>
                <w:color w:val="000000"/>
                <w:szCs w:val="28"/>
              </w:rPr>
              <w:t>Sở Tài chính</w:t>
            </w:r>
          </w:p>
        </w:tc>
        <w:tc>
          <w:tcPr>
            <w:tcW w:w="2127" w:type="dxa"/>
            <w:tcBorders>
              <w:top w:val="single" w:sz="4" w:space="0" w:color="auto"/>
              <w:left w:val="single" w:sz="4" w:space="0" w:color="auto"/>
              <w:bottom w:val="single" w:sz="4" w:space="0" w:color="auto"/>
              <w:right w:val="single" w:sz="4" w:space="0" w:color="auto"/>
            </w:tcBorders>
            <w:vAlign w:val="center"/>
            <w:hideMark/>
          </w:tcPr>
          <w:p w:rsidR="001D7B45" w:rsidRPr="001A4677" w:rsidRDefault="001A4677" w:rsidP="002C3AF5">
            <w:pPr>
              <w:jc w:val="center"/>
              <w:rPr>
                <w:szCs w:val="28"/>
              </w:rPr>
            </w:pPr>
            <w:r w:rsidRPr="001A4677">
              <w:rPr>
                <w:color w:val="222222"/>
                <w:szCs w:val="28"/>
                <w:shd w:val="clear" w:color="auto" w:fill="FFFFFF"/>
              </w:rPr>
              <w:t>2059/STC-QLNS</w:t>
            </w:r>
          </w:p>
        </w:tc>
        <w:tc>
          <w:tcPr>
            <w:tcW w:w="1683" w:type="dxa"/>
            <w:tcBorders>
              <w:top w:val="single" w:sz="4" w:space="0" w:color="auto"/>
              <w:left w:val="single" w:sz="4" w:space="0" w:color="auto"/>
              <w:bottom w:val="single" w:sz="4" w:space="0" w:color="auto"/>
              <w:right w:val="single" w:sz="4" w:space="0" w:color="auto"/>
            </w:tcBorders>
            <w:vAlign w:val="center"/>
          </w:tcPr>
          <w:p w:rsidR="001D7B45" w:rsidRPr="001A4677" w:rsidRDefault="001D7B45" w:rsidP="002C3AF5">
            <w:pPr>
              <w:jc w:val="center"/>
              <w:rPr>
                <w:szCs w:val="28"/>
              </w:rPr>
            </w:pPr>
            <w:r w:rsidRPr="001A4677">
              <w:rPr>
                <w:color w:val="000000"/>
                <w:szCs w:val="28"/>
              </w:rPr>
              <w:t>0</w:t>
            </w:r>
            <w:r w:rsidR="00E23C93" w:rsidRPr="001A4677">
              <w:rPr>
                <w:color w:val="000000"/>
                <w:szCs w:val="28"/>
              </w:rPr>
              <w:t>5</w:t>
            </w:r>
            <w:r w:rsidRPr="001A4677">
              <w:rPr>
                <w:color w:val="000000"/>
                <w:szCs w:val="28"/>
              </w:rPr>
              <w:t>/</w:t>
            </w:r>
            <w:r w:rsidR="00E23C93" w:rsidRPr="001A4677">
              <w:rPr>
                <w:color w:val="000000"/>
                <w:szCs w:val="28"/>
              </w:rPr>
              <w:t>10</w:t>
            </w:r>
            <w:r w:rsidRPr="001A4677">
              <w:rPr>
                <w:color w:val="000000"/>
                <w:szCs w:val="28"/>
              </w:rPr>
              <w:t>/2020</w:t>
            </w:r>
          </w:p>
        </w:tc>
        <w:tc>
          <w:tcPr>
            <w:tcW w:w="8525" w:type="dxa"/>
            <w:tcBorders>
              <w:top w:val="single" w:sz="4" w:space="0" w:color="auto"/>
              <w:left w:val="single" w:sz="4" w:space="0" w:color="auto"/>
              <w:bottom w:val="single" w:sz="4" w:space="0" w:color="auto"/>
              <w:right w:val="single" w:sz="4" w:space="0" w:color="auto"/>
            </w:tcBorders>
            <w:vAlign w:val="center"/>
            <w:hideMark/>
          </w:tcPr>
          <w:p w:rsidR="0004462B" w:rsidRPr="001A4677" w:rsidRDefault="0004462B" w:rsidP="002C3AF5">
            <w:pPr>
              <w:jc w:val="both"/>
              <w:rPr>
                <w:szCs w:val="28"/>
              </w:rPr>
            </w:pPr>
            <w:r w:rsidRPr="001A4677">
              <w:rPr>
                <w:szCs w:val="28"/>
              </w:rPr>
              <w:t>1. Đối với chính sách hỗ trợ đào tạo nghề nghiệp trình độ trung cấp, cao đẳng cho học sinh, sinh viên:</w:t>
            </w:r>
          </w:p>
          <w:p w:rsidR="0004462B" w:rsidRPr="001A4677" w:rsidRDefault="0004462B" w:rsidP="002C3AF5">
            <w:pPr>
              <w:jc w:val="both"/>
              <w:rPr>
                <w:szCs w:val="28"/>
              </w:rPr>
            </w:pPr>
            <w:r w:rsidRPr="001A4677">
              <w:rPr>
                <w:szCs w:val="28"/>
              </w:rPr>
              <w:t>Theo báo cáo đánh giá của cơ quan soạn thảo về thực hiện chính sách hỗ trợ học sinh, sinh viên đào tạo nghề nghiệp trình độ trung cấp, cao đẳng tại các cơ sở giáo dục nghề nghiệp công lập trên địa bàn tỉnh theo Nghị quyết 15/2014/NQ-HĐND trong giai đoạn 2014-2020 đã thực sự phát huy hiệu quả, đạt được nhiều kết quả tích cực, đóng vai trò quan trọng trong sự phát triển của công tác giáo dục nghề nghiệp trên địa bàn tỉnh Đắk Nông; đặc biệt là tạo nguồn nhân lực trình độ cao là người đồng bào dân tộc thiểu số cho tỉnh, học sinh ra trường có việc làm góp phần chuyển dịch cơ cấu lao động, từ lĩnh vực nông nghiệp sang lĩnh vực công nghiệp, dịch vụ. Do đó, về cơ bản Sở Tài chính đồng ý với đề xuất chính sách này của cơ quan soạn thảo.</w:t>
            </w:r>
          </w:p>
          <w:p w:rsidR="0004462B" w:rsidRPr="001A4677" w:rsidRDefault="0004462B" w:rsidP="002C3AF5">
            <w:pPr>
              <w:jc w:val="both"/>
              <w:rPr>
                <w:szCs w:val="28"/>
              </w:rPr>
            </w:pPr>
            <w:r w:rsidRPr="001A4677">
              <w:rPr>
                <w:szCs w:val="28"/>
              </w:rPr>
              <w:t>2. Đối với chính sách hỗ trợ đào tạo nghề cho doanh nghiệp:</w:t>
            </w:r>
          </w:p>
          <w:p w:rsidR="0004462B" w:rsidRPr="001A4677" w:rsidRDefault="003575AD" w:rsidP="002C3AF5">
            <w:pPr>
              <w:jc w:val="both"/>
              <w:rPr>
                <w:color w:val="FF0000"/>
                <w:szCs w:val="28"/>
              </w:rPr>
            </w:pPr>
            <w:r w:rsidRPr="001A4677">
              <w:rPr>
                <w:color w:val="FF0000"/>
                <w:szCs w:val="28"/>
              </w:rPr>
              <w:t xml:space="preserve">- </w:t>
            </w:r>
            <w:r w:rsidR="0004462B" w:rsidRPr="001A4677">
              <w:rPr>
                <w:color w:val="FF0000"/>
                <w:szCs w:val="28"/>
              </w:rPr>
              <w:t>Đây là chính sách mới so với Nghị quyết số 15/2014/NQ-HĐND trước đây. Do đó, để đảm bảo chính sách được ban hành có tính khả thi, phù hợp với thực tế đề nghị cơ quan soạn thảo cần đánh giá cụ thể thực trạng nguồn nhân lực của doanh nghiệp, nhu cầu lao động đào tạo nghề của doanh nghiệp; đánh giá hiệu quả đào tạo nghề trên địa bàn tỉnh trong thời gian qua gắn với giải quyết việc làm trong các doanh nghiệp làm cơ sở cho việc đề xuất chính sách.</w:t>
            </w:r>
          </w:p>
          <w:p w:rsidR="001D7B45" w:rsidRPr="001A4677" w:rsidRDefault="003575AD" w:rsidP="002C3AF5">
            <w:pPr>
              <w:jc w:val="both"/>
              <w:rPr>
                <w:szCs w:val="28"/>
              </w:rPr>
            </w:pPr>
            <w:r w:rsidRPr="001A4677">
              <w:rPr>
                <w:szCs w:val="28"/>
              </w:rPr>
              <w:t xml:space="preserve">- </w:t>
            </w:r>
            <w:r w:rsidR="0004462B" w:rsidRPr="001A4677">
              <w:rPr>
                <w:szCs w:val="28"/>
              </w:rPr>
              <w:t xml:space="preserve">Để tránh chồng chéo trong ban hành chính sách hỗ trợ đào tạo, thuận lợi cho việc tổ chức thực hiện, đề nghị cơ quan soạn thảo cần rà soát, cân nhắc báo cáo cấp thẩm quyền xem xét quy định riêng chính sách liên quan đến hỗ trợ doanh nghiệp trên địa bàn tỉnh, hoặc có thể tích hợp vào các quy định liên quan đến chính sách hỗ trợ doanh nghiệp mà tỉnh đã </w:t>
            </w:r>
            <w:r w:rsidR="0004462B" w:rsidRPr="001A4677">
              <w:rPr>
                <w:szCs w:val="28"/>
              </w:rPr>
              <w:lastRenderedPageBreak/>
              <w:t>ban hành (như Nghị quyết 06/2018/NQ-HĐND ngày 02/8/2018 của Hội đồng nhân dân tỉnh ban hành quy định về chính sách khuyến khích, hỗ t</w:t>
            </w:r>
            <w:r w:rsidR="00A93389" w:rsidRPr="001A4677">
              <w:rPr>
                <w:szCs w:val="28"/>
              </w:rPr>
              <w:t>rợ đầu tư vào tỉnh Đắk Nông,…).</w:t>
            </w:r>
          </w:p>
          <w:p w:rsidR="003575AD" w:rsidRPr="001A4677" w:rsidRDefault="00AA6AB9" w:rsidP="002C3AF5">
            <w:pPr>
              <w:jc w:val="both"/>
              <w:rPr>
                <w:b/>
                <w:i/>
                <w:szCs w:val="28"/>
                <w:u w:val="single"/>
              </w:rPr>
            </w:pPr>
            <w:r w:rsidRPr="001A4677">
              <w:rPr>
                <w:b/>
                <w:i/>
                <w:szCs w:val="28"/>
                <w:u w:val="single"/>
              </w:rPr>
              <w:t>Giải trình:</w:t>
            </w:r>
            <w:r w:rsidR="00144B94" w:rsidRPr="001A4677">
              <w:rPr>
                <w:szCs w:val="28"/>
              </w:rPr>
              <w:t>Cơ quan soạn thảo tiếp thu, hoàn chỉnh theo đề nghị.</w:t>
            </w:r>
          </w:p>
        </w:tc>
      </w:tr>
      <w:tr w:rsidR="001D7B45" w:rsidRPr="00583A78" w:rsidTr="005E3596">
        <w:tc>
          <w:tcPr>
            <w:tcW w:w="550" w:type="dxa"/>
            <w:tcBorders>
              <w:top w:val="single" w:sz="4" w:space="0" w:color="auto"/>
              <w:left w:val="single" w:sz="4" w:space="0" w:color="auto"/>
              <w:bottom w:val="single" w:sz="4" w:space="0" w:color="auto"/>
              <w:right w:val="single" w:sz="4" w:space="0" w:color="auto"/>
            </w:tcBorders>
            <w:vAlign w:val="center"/>
          </w:tcPr>
          <w:p w:rsidR="001D7B45" w:rsidRPr="00583A78" w:rsidRDefault="001D7B45" w:rsidP="002C3AF5">
            <w:pPr>
              <w:jc w:val="center"/>
              <w:rPr>
                <w:szCs w:val="28"/>
              </w:rPr>
            </w:pPr>
            <w:r w:rsidRPr="00583A78">
              <w:rPr>
                <w:szCs w:val="28"/>
              </w:rPr>
              <w:lastRenderedPageBreak/>
              <w:t>2</w:t>
            </w:r>
          </w:p>
        </w:tc>
        <w:tc>
          <w:tcPr>
            <w:tcW w:w="1857" w:type="dxa"/>
            <w:tcBorders>
              <w:top w:val="single" w:sz="4" w:space="0" w:color="auto"/>
              <w:left w:val="single" w:sz="4" w:space="0" w:color="auto"/>
              <w:bottom w:val="single" w:sz="4" w:space="0" w:color="auto"/>
              <w:right w:val="single" w:sz="4" w:space="0" w:color="auto"/>
            </w:tcBorders>
            <w:vAlign w:val="center"/>
          </w:tcPr>
          <w:p w:rsidR="001D7B45" w:rsidRPr="00583A78" w:rsidRDefault="001D7B45" w:rsidP="002C3AF5">
            <w:pPr>
              <w:jc w:val="center"/>
              <w:rPr>
                <w:color w:val="000000"/>
                <w:szCs w:val="28"/>
              </w:rPr>
            </w:pPr>
            <w:r w:rsidRPr="00583A78">
              <w:rPr>
                <w:color w:val="000000"/>
                <w:szCs w:val="28"/>
              </w:rPr>
              <w:t>Sở Tư pháp</w:t>
            </w:r>
          </w:p>
        </w:tc>
        <w:tc>
          <w:tcPr>
            <w:tcW w:w="2127" w:type="dxa"/>
            <w:tcBorders>
              <w:top w:val="single" w:sz="4" w:space="0" w:color="auto"/>
              <w:left w:val="single" w:sz="4" w:space="0" w:color="auto"/>
              <w:bottom w:val="single" w:sz="4" w:space="0" w:color="auto"/>
              <w:right w:val="single" w:sz="4" w:space="0" w:color="auto"/>
            </w:tcBorders>
            <w:vAlign w:val="center"/>
          </w:tcPr>
          <w:p w:rsidR="001D7B45" w:rsidRPr="00583A78" w:rsidRDefault="00027A27" w:rsidP="002C3AF5">
            <w:pPr>
              <w:jc w:val="center"/>
              <w:rPr>
                <w:color w:val="000000"/>
                <w:szCs w:val="28"/>
              </w:rPr>
            </w:pPr>
            <w:r w:rsidRPr="00583A78">
              <w:rPr>
                <w:color w:val="000000"/>
                <w:szCs w:val="28"/>
              </w:rPr>
              <w:t>970</w:t>
            </w:r>
            <w:r w:rsidR="00F216CC">
              <w:rPr>
                <w:color w:val="000000"/>
                <w:szCs w:val="28"/>
              </w:rPr>
              <w:t>/STP-VBPBPL</w:t>
            </w:r>
            <w:bookmarkStart w:id="0" w:name="_GoBack"/>
            <w:bookmarkEnd w:id="0"/>
          </w:p>
        </w:tc>
        <w:tc>
          <w:tcPr>
            <w:tcW w:w="1683" w:type="dxa"/>
            <w:tcBorders>
              <w:top w:val="single" w:sz="4" w:space="0" w:color="auto"/>
              <w:left w:val="single" w:sz="4" w:space="0" w:color="auto"/>
              <w:bottom w:val="single" w:sz="4" w:space="0" w:color="auto"/>
              <w:right w:val="single" w:sz="4" w:space="0" w:color="auto"/>
            </w:tcBorders>
            <w:vAlign w:val="center"/>
          </w:tcPr>
          <w:p w:rsidR="001D7B45" w:rsidRPr="00583A78" w:rsidRDefault="001D7B45" w:rsidP="002C3AF5">
            <w:pPr>
              <w:jc w:val="center"/>
              <w:rPr>
                <w:color w:val="000000"/>
                <w:szCs w:val="28"/>
              </w:rPr>
            </w:pPr>
            <w:r w:rsidRPr="00583A78">
              <w:rPr>
                <w:color w:val="000000"/>
                <w:szCs w:val="28"/>
              </w:rPr>
              <w:t>30/</w:t>
            </w:r>
            <w:r w:rsidR="00027A27" w:rsidRPr="00583A78">
              <w:rPr>
                <w:color w:val="000000"/>
                <w:szCs w:val="28"/>
              </w:rPr>
              <w:t>9</w:t>
            </w:r>
            <w:r w:rsidRPr="00583A78">
              <w:rPr>
                <w:color w:val="000000"/>
                <w:szCs w:val="28"/>
              </w:rPr>
              <w:t>/2020</w:t>
            </w:r>
          </w:p>
        </w:tc>
        <w:tc>
          <w:tcPr>
            <w:tcW w:w="8525" w:type="dxa"/>
            <w:tcBorders>
              <w:top w:val="single" w:sz="4" w:space="0" w:color="auto"/>
              <w:left w:val="single" w:sz="4" w:space="0" w:color="auto"/>
              <w:bottom w:val="single" w:sz="4" w:space="0" w:color="auto"/>
              <w:right w:val="single" w:sz="4" w:space="0" w:color="auto"/>
            </w:tcBorders>
            <w:vAlign w:val="center"/>
          </w:tcPr>
          <w:p w:rsidR="00855190" w:rsidRPr="00583A78" w:rsidRDefault="00855190" w:rsidP="002C3AF5">
            <w:pPr>
              <w:jc w:val="both"/>
              <w:rPr>
                <w:color w:val="000000"/>
                <w:szCs w:val="28"/>
                <w:lang w:val="pt-BR"/>
              </w:rPr>
            </w:pPr>
            <w:r w:rsidRPr="00583A78">
              <w:rPr>
                <w:color w:val="000000"/>
                <w:szCs w:val="28"/>
                <w:lang w:val="pt-BR"/>
              </w:rPr>
              <w:t xml:space="preserve">- Dự thảo Nghị quyết thay thế Nghị quyết số 15/2015/NQ-HĐND do Sở Lao động – Thương binh và Xã hội xây dựng là văn bản quy phạm pháp luật quy định về </w:t>
            </w:r>
            <w:r w:rsidRPr="00583A78">
              <w:rPr>
                <w:b/>
                <w:i/>
                <w:color w:val="000000"/>
                <w:szCs w:val="28"/>
                <w:lang w:val="pt-BR"/>
              </w:rPr>
              <w:t>chính sách đặc thù</w:t>
            </w:r>
            <w:r w:rsidRPr="00583A78">
              <w:rPr>
                <w:color w:val="000000"/>
                <w:szCs w:val="28"/>
                <w:lang w:val="pt-BR"/>
              </w:rPr>
              <w:t xml:space="preserve"> của địa phương (</w:t>
            </w:r>
            <w:r w:rsidRPr="00583A78">
              <w:rPr>
                <w:i/>
                <w:color w:val="000000"/>
                <w:szCs w:val="28"/>
                <w:lang w:val="pt-BR"/>
              </w:rPr>
              <w:t>thuộc trường hợp quy định tại các khoản 4 Điều 27 Luật Ban hành văn bản quy phạm pháp luật năm 2015</w:t>
            </w:r>
            <w:r w:rsidRPr="00583A78">
              <w:rPr>
                <w:color w:val="000000"/>
                <w:szCs w:val="28"/>
                <w:lang w:val="pt-BR"/>
              </w:rPr>
              <w:t xml:space="preserve">) nên việc đề nghị thay thế Nghị quyết này phải thực hiện theo quy định </w:t>
            </w:r>
            <w:r w:rsidRPr="00583A78">
              <w:rPr>
                <w:color w:val="000000"/>
                <w:szCs w:val="28"/>
              </w:rPr>
              <w:t>từ Điều 112 đến Điều 117 Luật Ban hành văn bản quy phạm pháp luật năm 2015, trong đó cơ quan soạn thảo cần lưu ý thêm một số nội dung sau:</w:t>
            </w:r>
          </w:p>
          <w:p w:rsidR="00855190" w:rsidRPr="00583A78" w:rsidRDefault="00855190" w:rsidP="002C3AF5">
            <w:pPr>
              <w:jc w:val="both"/>
              <w:rPr>
                <w:i/>
                <w:szCs w:val="28"/>
                <w:lang w:val="pt-BR"/>
              </w:rPr>
            </w:pPr>
            <w:r w:rsidRPr="00583A78">
              <w:rPr>
                <w:szCs w:val="28"/>
                <w:lang w:val="pt-BR"/>
              </w:rPr>
              <w:t xml:space="preserve">+ Phương pháp đánh giá tác động thực hiện theo Điều 7 Nghị định số 34/2016/NĐ-CP: Trong đó cần lưu ý: </w:t>
            </w:r>
            <w:r w:rsidRPr="00583A78">
              <w:rPr>
                <w:i/>
                <w:szCs w:val="28"/>
                <w:lang w:val="pt-BR"/>
              </w:rPr>
              <w:t>“Thông tin, số liệu được sử dụng khi xây dựng báo cáo đánh giá tác động của chính sách phải chính xác và ghi rõ nguồn thông tin.”</w:t>
            </w:r>
          </w:p>
          <w:p w:rsidR="00855190" w:rsidRPr="00583A78" w:rsidRDefault="00855190" w:rsidP="002C3AF5">
            <w:pPr>
              <w:jc w:val="both"/>
              <w:rPr>
                <w:szCs w:val="28"/>
                <w:lang w:val="pt-BR"/>
              </w:rPr>
            </w:pPr>
            <w:r w:rsidRPr="00583A78">
              <w:rPr>
                <w:szCs w:val="28"/>
                <w:lang w:val="pt-BR"/>
              </w:rPr>
              <w:t>+ Các mức hỗ trợ, nguồn kinh phí thực hiện, mức kinh phí dự kiến chi trả trong giai đoạn tới tại các Phụ lục theo kèm cần cân đối cho phù hợp với ngân sách địa phương.</w:t>
            </w:r>
          </w:p>
          <w:p w:rsidR="00855190" w:rsidRPr="00583A78" w:rsidRDefault="00855190" w:rsidP="002C3AF5">
            <w:pPr>
              <w:jc w:val="both"/>
              <w:rPr>
                <w:szCs w:val="28"/>
                <w:lang w:val="pt-BR"/>
              </w:rPr>
            </w:pPr>
            <w:r w:rsidRPr="00583A78">
              <w:rPr>
                <w:szCs w:val="28"/>
                <w:lang w:val="pt-BR"/>
              </w:rPr>
              <w:t xml:space="preserve">+ Trách nhiệm lấy ý kiến trong quá trình lập đề nghị xây dựng Nghị quyết thực hiện theo Điều 113 Luật Ban hành văn bản quy phạm pháp luật và Điều 10 Nghị định số 34/2016/NĐ-CP: Theo đó, cần đăng tải toàn văn hồ sơ đề nghị xây dựng Nghị quyết trên Cổng thông tin điện tử tỉnh trong thời hạn ít nhất 30 ngày để lấy ý kiến; lấy ý kiến bằng văn bản của các Bộ có liên quan. </w:t>
            </w:r>
          </w:p>
          <w:p w:rsidR="00855190" w:rsidRPr="00583A78" w:rsidRDefault="00855190" w:rsidP="002C3AF5">
            <w:pPr>
              <w:jc w:val="both"/>
              <w:rPr>
                <w:szCs w:val="28"/>
              </w:rPr>
            </w:pPr>
            <w:r w:rsidRPr="00583A78">
              <w:rPr>
                <w:szCs w:val="28"/>
              </w:rPr>
              <w:t xml:space="preserve">+ Gửi hồ sơ đề nghị xây dựng Nghị quyết cho Sở Tư pháp thẩm định theo quy định tại Điều 115 Luật Ban hành văn bản quy phạm pháp luật. </w:t>
            </w:r>
          </w:p>
          <w:p w:rsidR="00855190" w:rsidRPr="00583A78" w:rsidRDefault="00855190" w:rsidP="002C3AF5">
            <w:pPr>
              <w:jc w:val="both"/>
              <w:rPr>
                <w:szCs w:val="28"/>
              </w:rPr>
            </w:pPr>
            <w:r w:rsidRPr="00583A78">
              <w:rPr>
                <w:szCs w:val="28"/>
              </w:rPr>
              <w:t xml:space="preserve">+ Hồ sơ đề nghị xây dựng Nghị quyết thực hiện theo quy định tại Khoản 3 Điều 117 Luật Ban hành văn bản quy phạm pháp luật (về mẫu Báo cáo đánh giá tác động, Tờ trình đề nghị xây dựng Nghị quyết theo Mẫu số 01, 02 Phụ lục số V ban hành kèm theo Nghị định số 34/2016/NĐ-CP); </w:t>
            </w:r>
          </w:p>
          <w:p w:rsidR="001D7B45" w:rsidRPr="00583A78" w:rsidRDefault="00855190" w:rsidP="002C3AF5">
            <w:pPr>
              <w:jc w:val="both"/>
              <w:rPr>
                <w:szCs w:val="28"/>
                <w:lang w:val="pt-BR"/>
              </w:rPr>
            </w:pPr>
            <w:r w:rsidRPr="00583A78">
              <w:rPr>
                <w:szCs w:val="28"/>
              </w:rPr>
              <w:t xml:space="preserve">- Sau khi hoàn thiện các bước trên và có ý kiến đồng ý bằng văn bản của </w:t>
            </w:r>
            <w:r w:rsidRPr="00583A78">
              <w:rPr>
                <w:szCs w:val="28"/>
              </w:rPr>
              <w:lastRenderedPageBreak/>
              <w:t>Thường trực HĐND tỉnh theo quy định tại Điều 118 Luật Ban hành văn bản quy phạm pháp luật năm 2015 thì cơ quan soạn thảo mới tiến hành xây dựng dự thảo Nghị quyết và các bước tiếp theo (theo quy định từ Điều 119 đến Điều 122 Luật Ban hành văn bản quy phạm pháp luật năm 2015)</w:t>
            </w:r>
            <w:r w:rsidRPr="00583A78">
              <w:rPr>
                <w:szCs w:val="28"/>
                <w:lang w:val="pt-BR"/>
              </w:rPr>
              <w:t xml:space="preserve"> </w:t>
            </w:r>
          </w:p>
          <w:p w:rsidR="00D86023" w:rsidRPr="00583A78" w:rsidRDefault="00D86023" w:rsidP="00286F0A">
            <w:pPr>
              <w:jc w:val="both"/>
              <w:rPr>
                <w:i/>
                <w:szCs w:val="28"/>
              </w:rPr>
            </w:pPr>
            <w:r w:rsidRPr="00286F0A">
              <w:rPr>
                <w:b/>
                <w:i/>
                <w:szCs w:val="28"/>
                <w:u w:val="single"/>
              </w:rPr>
              <w:t>Giải trình</w:t>
            </w:r>
            <w:r w:rsidRPr="00286F0A">
              <w:rPr>
                <w:b/>
                <w:i/>
                <w:szCs w:val="28"/>
              </w:rPr>
              <w:t>:</w:t>
            </w:r>
            <w:r w:rsidR="00286F0A">
              <w:rPr>
                <w:szCs w:val="28"/>
              </w:rPr>
              <w:t xml:space="preserve"> </w:t>
            </w:r>
            <w:r w:rsidRPr="00583A78">
              <w:rPr>
                <w:szCs w:val="28"/>
              </w:rPr>
              <w:t>Cơ quan soạn thảo tiếp thu, hoàn chỉnh theo đề nghị.</w:t>
            </w:r>
          </w:p>
        </w:tc>
      </w:tr>
      <w:tr w:rsidR="001D7B45" w:rsidRPr="00583A78" w:rsidTr="005E3596">
        <w:tc>
          <w:tcPr>
            <w:tcW w:w="550" w:type="dxa"/>
            <w:tcBorders>
              <w:top w:val="single" w:sz="4" w:space="0" w:color="auto"/>
              <w:left w:val="single" w:sz="4" w:space="0" w:color="auto"/>
              <w:bottom w:val="single" w:sz="4" w:space="0" w:color="auto"/>
              <w:right w:val="single" w:sz="4" w:space="0" w:color="auto"/>
            </w:tcBorders>
            <w:vAlign w:val="center"/>
          </w:tcPr>
          <w:p w:rsidR="001D7B45" w:rsidRPr="00583A78" w:rsidRDefault="001D7B45" w:rsidP="002C3AF5">
            <w:pPr>
              <w:jc w:val="center"/>
              <w:rPr>
                <w:szCs w:val="28"/>
              </w:rPr>
            </w:pPr>
            <w:r w:rsidRPr="00583A78">
              <w:rPr>
                <w:szCs w:val="28"/>
              </w:rPr>
              <w:lastRenderedPageBreak/>
              <w:t>3</w:t>
            </w:r>
          </w:p>
        </w:tc>
        <w:tc>
          <w:tcPr>
            <w:tcW w:w="1857" w:type="dxa"/>
            <w:tcBorders>
              <w:top w:val="single" w:sz="4" w:space="0" w:color="auto"/>
              <w:left w:val="single" w:sz="4" w:space="0" w:color="auto"/>
              <w:bottom w:val="single" w:sz="4" w:space="0" w:color="auto"/>
              <w:right w:val="single" w:sz="4" w:space="0" w:color="auto"/>
            </w:tcBorders>
            <w:vAlign w:val="center"/>
          </w:tcPr>
          <w:p w:rsidR="001D7B45" w:rsidRPr="00583A78" w:rsidRDefault="001D7B45" w:rsidP="002C3AF5">
            <w:pPr>
              <w:jc w:val="center"/>
              <w:rPr>
                <w:szCs w:val="28"/>
              </w:rPr>
            </w:pPr>
            <w:r w:rsidRPr="00583A78">
              <w:rPr>
                <w:szCs w:val="28"/>
              </w:rPr>
              <w:t>Sở Giáo dục và Đào tạo</w:t>
            </w:r>
          </w:p>
        </w:tc>
        <w:tc>
          <w:tcPr>
            <w:tcW w:w="2127" w:type="dxa"/>
            <w:tcBorders>
              <w:top w:val="single" w:sz="4" w:space="0" w:color="auto"/>
              <w:left w:val="single" w:sz="4" w:space="0" w:color="auto"/>
              <w:bottom w:val="single" w:sz="4" w:space="0" w:color="auto"/>
              <w:right w:val="single" w:sz="4" w:space="0" w:color="auto"/>
            </w:tcBorders>
            <w:vAlign w:val="center"/>
          </w:tcPr>
          <w:p w:rsidR="001D7B45" w:rsidRPr="00583A78" w:rsidRDefault="00CD5859" w:rsidP="002C3AF5">
            <w:pPr>
              <w:jc w:val="center"/>
              <w:rPr>
                <w:szCs w:val="28"/>
              </w:rPr>
            </w:pPr>
            <w:r w:rsidRPr="00583A78">
              <w:rPr>
                <w:szCs w:val="28"/>
              </w:rPr>
              <w:t>227</w:t>
            </w:r>
            <w:r w:rsidR="001D7B45" w:rsidRPr="00583A78">
              <w:rPr>
                <w:szCs w:val="28"/>
              </w:rPr>
              <w:t>/SGDĐT-</w:t>
            </w:r>
            <w:r w:rsidRPr="00583A78">
              <w:rPr>
                <w:szCs w:val="28"/>
              </w:rPr>
              <w:t>GDTXCTTTT</w:t>
            </w:r>
          </w:p>
        </w:tc>
        <w:tc>
          <w:tcPr>
            <w:tcW w:w="1683" w:type="dxa"/>
            <w:tcBorders>
              <w:top w:val="single" w:sz="4" w:space="0" w:color="auto"/>
              <w:left w:val="single" w:sz="4" w:space="0" w:color="auto"/>
              <w:bottom w:val="single" w:sz="4" w:space="0" w:color="auto"/>
              <w:right w:val="single" w:sz="4" w:space="0" w:color="auto"/>
            </w:tcBorders>
            <w:vAlign w:val="center"/>
          </w:tcPr>
          <w:p w:rsidR="001D7B45" w:rsidRPr="00583A78" w:rsidRDefault="00CD5859" w:rsidP="002C3AF5">
            <w:pPr>
              <w:jc w:val="center"/>
              <w:rPr>
                <w:szCs w:val="28"/>
              </w:rPr>
            </w:pPr>
            <w:r w:rsidRPr="00583A78">
              <w:rPr>
                <w:szCs w:val="28"/>
              </w:rPr>
              <w:t>02</w:t>
            </w:r>
            <w:r w:rsidR="001D7B45" w:rsidRPr="00583A78">
              <w:rPr>
                <w:szCs w:val="28"/>
              </w:rPr>
              <w:t>/</w:t>
            </w:r>
            <w:r w:rsidRPr="00583A78">
              <w:rPr>
                <w:szCs w:val="28"/>
              </w:rPr>
              <w:t>10</w:t>
            </w:r>
            <w:r w:rsidR="001D7B45" w:rsidRPr="00583A78">
              <w:rPr>
                <w:szCs w:val="28"/>
              </w:rPr>
              <w:t>/2020</w:t>
            </w:r>
          </w:p>
        </w:tc>
        <w:tc>
          <w:tcPr>
            <w:tcW w:w="8525" w:type="dxa"/>
            <w:tcBorders>
              <w:top w:val="single" w:sz="4" w:space="0" w:color="auto"/>
              <w:left w:val="single" w:sz="4" w:space="0" w:color="auto"/>
              <w:bottom w:val="single" w:sz="4" w:space="0" w:color="auto"/>
              <w:right w:val="single" w:sz="4" w:space="0" w:color="auto"/>
            </w:tcBorders>
            <w:vAlign w:val="center"/>
          </w:tcPr>
          <w:p w:rsidR="001D7B45" w:rsidRPr="00583A78" w:rsidRDefault="001D7B45" w:rsidP="002C3AF5">
            <w:pPr>
              <w:jc w:val="both"/>
              <w:rPr>
                <w:szCs w:val="28"/>
                <w:lang w:val="vi-VN"/>
              </w:rPr>
            </w:pPr>
            <w:r w:rsidRPr="00583A78">
              <w:rPr>
                <w:color w:val="000000"/>
                <w:szCs w:val="28"/>
              </w:rPr>
              <w:t>Thống nhất với nội dung của bản Dự thảo</w:t>
            </w:r>
          </w:p>
        </w:tc>
      </w:tr>
      <w:tr w:rsidR="001D7B45" w:rsidRPr="00583A78" w:rsidTr="005E3596">
        <w:tc>
          <w:tcPr>
            <w:tcW w:w="550" w:type="dxa"/>
            <w:tcBorders>
              <w:top w:val="single" w:sz="4" w:space="0" w:color="auto"/>
              <w:left w:val="single" w:sz="4" w:space="0" w:color="auto"/>
              <w:bottom w:val="single" w:sz="4" w:space="0" w:color="auto"/>
              <w:right w:val="single" w:sz="4" w:space="0" w:color="auto"/>
            </w:tcBorders>
            <w:vAlign w:val="center"/>
          </w:tcPr>
          <w:p w:rsidR="001D7B45" w:rsidRPr="00583A78" w:rsidRDefault="001D7B45" w:rsidP="002C3AF5">
            <w:pPr>
              <w:jc w:val="center"/>
              <w:rPr>
                <w:szCs w:val="28"/>
              </w:rPr>
            </w:pPr>
            <w:r w:rsidRPr="00583A78">
              <w:rPr>
                <w:szCs w:val="28"/>
              </w:rPr>
              <w:t>4</w:t>
            </w:r>
          </w:p>
        </w:tc>
        <w:tc>
          <w:tcPr>
            <w:tcW w:w="1857" w:type="dxa"/>
            <w:tcBorders>
              <w:top w:val="single" w:sz="4" w:space="0" w:color="auto"/>
              <w:left w:val="single" w:sz="4" w:space="0" w:color="auto"/>
              <w:bottom w:val="single" w:sz="4" w:space="0" w:color="auto"/>
              <w:right w:val="single" w:sz="4" w:space="0" w:color="auto"/>
            </w:tcBorders>
            <w:vAlign w:val="center"/>
          </w:tcPr>
          <w:p w:rsidR="001D7B45" w:rsidRPr="00583A78" w:rsidRDefault="001D7B45" w:rsidP="002C3AF5">
            <w:pPr>
              <w:jc w:val="center"/>
              <w:rPr>
                <w:color w:val="000000"/>
                <w:szCs w:val="28"/>
              </w:rPr>
            </w:pPr>
            <w:r w:rsidRPr="00583A78">
              <w:rPr>
                <w:color w:val="000000"/>
                <w:szCs w:val="28"/>
              </w:rPr>
              <w:t>Sở Kế hoạch và Đầu tư</w:t>
            </w:r>
          </w:p>
        </w:tc>
        <w:tc>
          <w:tcPr>
            <w:tcW w:w="2127" w:type="dxa"/>
            <w:tcBorders>
              <w:top w:val="single" w:sz="4" w:space="0" w:color="auto"/>
              <w:left w:val="single" w:sz="4" w:space="0" w:color="auto"/>
              <w:bottom w:val="single" w:sz="4" w:space="0" w:color="auto"/>
              <w:right w:val="single" w:sz="4" w:space="0" w:color="auto"/>
            </w:tcBorders>
            <w:vAlign w:val="center"/>
          </w:tcPr>
          <w:p w:rsidR="001D7B45" w:rsidRPr="00583A78" w:rsidRDefault="001D7B45" w:rsidP="002C3AF5">
            <w:pPr>
              <w:jc w:val="center"/>
              <w:rPr>
                <w:color w:val="000000"/>
                <w:szCs w:val="28"/>
              </w:rPr>
            </w:pPr>
            <w:r w:rsidRPr="00583A78">
              <w:rPr>
                <w:color w:val="000000"/>
                <w:szCs w:val="28"/>
              </w:rPr>
              <w:t>1</w:t>
            </w:r>
            <w:r w:rsidR="00CD5859" w:rsidRPr="00583A78">
              <w:rPr>
                <w:color w:val="000000"/>
                <w:szCs w:val="28"/>
              </w:rPr>
              <w:t>713</w:t>
            </w:r>
            <w:r w:rsidRPr="00583A78">
              <w:rPr>
                <w:color w:val="000000"/>
                <w:szCs w:val="28"/>
              </w:rPr>
              <w:t>/SKH-QLN</w:t>
            </w:r>
          </w:p>
        </w:tc>
        <w:tc>
          <w:tcPr>
            <w:tcW w:w="1683" w:type="dxa"/>
            <w:tcBorders>
              <w:top w:val="single" w:sz="4" w:space="0" w:color="auto"/>
              <w:left w:val="single" w:sz="4" w:space="0" w:color="auto"/>
              <w:bottom w:val="single" w:sz="4" w:space="0" w:color="auto"/>
              <w:right w:val="single" w:sz="4" w:space="0" w:color="auto"/>
            </w:tcBorders>
            <w:vAlign w:val="center"/>
          </w:tcPr>
          <w:p w:rsidR="001D7B45" w:rsidRPr="00583A78" w:rsidRDefault="001D7B45" w:rsidP="002C3AF5">
            <w:pPr>
              <w:jc w:val="center"/>
              <w:rPr>
                <w:color w:val="000000"/>
                <w:szCs w:val="28"/>
              </w:rPr>
            </w:pPr>
            <w:r w:rsidRPr="00583A78">
              <w:rPr>
                <w:color w:val="000000"/>
                <w:szCs w:val="28"/>
              </w:rPr>
              <w:t>0</w:t>
            </w:r>
            <w:r w:rsidR="00CD5859" w:rsidRPr="00583A78">
              <w:rPr>
                <w:color w:val="000000"/>
                <w:szCs w:val="28"/>
              </w:rPr>
              <w:t>1</w:t>
            </w:r>
            <w:r w:rsidRPr="00583A78">
              <w:rPr>
                <w:color w:val="000000"/>
                <w:szCs w:val="28"/>
              </w:rPr>
              <w:t>/</w:t>
            </w:r>
            <w:r w:rsidR="00CD5859" w:rsidRPr="00583A78">
              <w:rPr>
                <w:color w:val="000000"/>
                <w:szCs w:val="28"/>
              </w:rPr>
              <w:t>10</w:t>
            </w:r>
            <w:r w:rsidRPr="00583A78">
              <w:rPr>
                <w:color w:val="000000"/>
                <w:szCs w:val="28"/>
              </w:rPr>
              <w:t>/2020</w:t>
            </w:r>
          </w:p>
        </w:tc>
        <w:tc>
          <w:tcPr>
            <w:tcW w:w="8525" w:type="dxa"/>
            <w:tcBorders>
              <w:top w:val="single" w:sz="4" w:space="0" w:color="auto"/>
              <w:left w:val="single" w:sz="4" w:space="0" w:color="auto"/>
              <w:bottom w:val="single" w:sz="4" w:space="0" w:color="auto"/>
              <w:right w:val="single" w:sz="4" w:space="0" w:color="auto"/>
            </w:tcBorders>
            <w:vAlign w:val="center"/>
          </w:tcPr>
          <w:p w:rsidR="00CD5859" w:rsidRPr="00DD49C6" w:rsidRDefault="00CD5859" w:rsidP="002C3AF5">
            <w:pPr>
              <w:jc w:val="both"/>
              <w:rPr>
                <w:spacing w:val="-4"/>
                <w:szCs w:val="28"/>
              </w:rPr>
            </w:pPr>
            <w:r w:rsidRPr="00DD49C6">
              <w:rPr>
                <w:spacing w:val="-4"/>
                <w:szCs w:val="28"/>
              </w:rPr>
              <w:t>1. Về thể thức trình bày, nội dung, quy trình ban hành Nghị quyết đề nghị cơ quan soạn thảo thực hiện theo quy định của Luật Ban hành văn bản năm 2015 và Nghị định số 34/2016/NĐ-CP ngày 14/5/2016 của Chính Phủ.</w:t>
            </w:r>
          </w:p>
          <w:p w:rsidR="00CD5859" w:rsidRPr="00DD49C6" w:rsidRDefault="00CD5859" w:rsidP="002C3AF5">
            <w:pPr>
              <w:jc w:val="both"/>
              <w:rPr>
                <w:spacing w:val="-4"/>
                <w:szCs w:val="28"/>
              </w:rPr>
            </w:pPr>
            <w:r w:rsidRPr="00DD49C6">
              <w:rPr>
                <w:spacing w:val="-4"/>
                <w:szCs w:val="28"/>
              </w:rPr>
              <w:t>2. Tại phần cơ sở pháp lý, cơ quan soạn thảo có căn cứ Nghị quyết số 06/2018/NQ-HĐND ngày 02/8/2018 của HĐND, ban hành quy định về chính sách khuyến khích, hỗ trợ đầu tư vào tỉnh Đắk Nông. Tuy nhiên, Nghị quyết này đã được sửa đổi, bổ sung tại Nghị quyết số 42/2019/NQ-HĐND ngày 11/12/2019 của HĐND và hiện nay Sở Kế hoạch và Đầu tư đang tham mưu UBND tỉnh trình HĐND tỉnh tiếp tục rà soát, sửa đổi, bổ sung Nghị quyết số 06/2018/NQ-HĐND ngày 02/8/2018 của HĐND. Vì vậy, tại phần cơ sở pháp lý đề nghị cơ quan soạn thảo rà soát, bổ sung các căn cứ cho phù hợp, đồng thời sắp xếp các căn cứ theo thứ tự từ lớn đến nhỏ.</w:t>
            </w:r>
          </w:p>
          <w:p w:rsidR="00CD5859" w:rsidRPr="00DD49C6" w:rsidRDefault="00CD5859" w:rsidP="002C3AF5">
            <w:pPr>
              <w:jc w:val="both"/>
              <w:rPr>
                <w:spacing w:val="-4"/>
                <w:szCs w:val="28"/>
              </w:rPr>
            </w:pPr>
            <w:r w:rsidRPr="00DD49C6">
              <w:rPr>
                <w:spacing w:val="-4"/>
                <w:szCs w:val="28"/>
              </w:rPr>
              <w:t>3. Nghị quyết này được xây dựng để thực hiện giai đoạn 2021-2025 nên phần dự kiến kinh phí thực hiện đề nghị cơ quan soạn thảo dự kiến cho cả giai đoạn 2021-2025, để cơ quan chuyên môn về tài chính tham mưu UBND tỉnh xem xét, cân đối nguồn kinh phí đảm bảo thực hiện Nghị quyết.</w:t>
            </w:r>
          </w:p>
          <w:p w:rsidR="001D7B45" w:rsidRPr="00583A78" w:rsidRDefault="00CD5859" w:rsidP="002C3AF5">
            <w:pPr>
              <w:jc w:val="both"/>
              <w:rPr>
                <w:szCs w:val="28"/>
              </w:rPr>
            </w:pPr>
            <w:r w:rsidRPr="00583A78">
              <w:rPr>
                <w:szCs w:val="28"/>
              </w:rPr>
              <w:t xml:space="preserve">4. Theo báo cáo đánh giá thực hiện Nghị quyết số 15/2014/NQ-HĐND ngày 16/7/2014 của HĐND tỉnh thì việc xây dựng Nghị quyết thay thế Nghị quyết số 15/2014/NQ-HĐND nêu trên là rất cần thiết, đảm bảo tính liên tục của chính sách (do Nghị quyết số 15/2014/NQ-HĐND chỉ hỗ trợ đến hết năm 2020) nên Sở Kế hoạch và Đầu tư thống nhất xây dựng và ban hành Nghị quyết. Tuy nhiên, do nguồn vốn ngân sách địa phương rất khó khăn, nên đề nghị cơ quan soạn thảo cân đối, xây dựng Nghị quyết với mức kinh phí hợp lý, tiết kiệm nhưng đảm bảo hiệu quả của chính </w:t>
            </w:r>
            <w:r w:rsidRPr="00583A78">
              <w:rPr>
                <w:szCs w:val="28"/>
              </w:rPr>
              <w:lastRenderedPageBreak/>
              <w:t xml:space="preserve">sách. </w:t>
            </w:r>
          </w:p>
          <w:p w:rsidR="00D86023" w:rsidRPr="00583A78" w:rsidRDefault="00D86023" w:rsidP="002C3AF5">
            <w:pPr>
              <w:jc w:val="both"/>
              <w:rPr>
                <w:color w:val="000000"/>
                <w:szCs w:val="28"/>
              </w:rPr>
            </w:pPr>
            <w:r w:rsidRPr="00583A78">
              <w:rPr>
                <w:b/>
                <w:i/>
                <w:szCs w:val="28"/>
                <w:u w:val="single"/>
              </w:rPr>
              <w:t>Giải trình:</w:t>
            </w:r>
            <w:r w:rsidRPr="00583A78">
              <w:rPr>
                <w:szCs w:val="28"/>
              </w:rPr>
              <w:t>Cơ quan soạn thảo tiếp thu, hoàn chỉnh theo đề nghị.</w:t>
            </w:r>
          </w:p>
        </w:tc>
      </w:tr>
      <w:tr w:rsidR="001D7B45" w:rsidRPr="00583A78" w:rsidTr="005E3596">
        <w:tc>
          <w:tcPr>
            <w:tcW w:w="550" w:type="dxa"/>
            <w:tcBorders>
              <w:top w:val="single" w:sz="4" w:space="0" w:color="auto"/>
              <w:left w:val="single" w:sz="4" w:space="0" w:color="auto"/>
              <w:bottom w:val="single" w:sz="4" w:space="0" w:color="auto"/>
              <w:right w:val="single" w:sz="4" w:space="0" w:color="auto"/>
            </w:tcBorders>
            <w:vAlign w:val="center"/>
          </w:tcPr>
          <w:p w:rsidR="001D7B45" w:rsidRPr="00583A78" w:rsidRDefault="001D7B45" w:rsidP="002C3AF5">
            <w:pPr>
              <w:jc w:val="center"/>
              <w:rPr>
                <w:szCs w:val="28"/>
              </w:rPr>
            </w:pPr>
            <w:r w:rsidRPr="00583A78">
              <w:rPr>
                <w:szCs w:val="28"/>
              </w:rPr>
              <w:lastRenderedPageBreak/>
              <w:t>5</w:t>
            </w:r>
          </w:p>
        </w:tc>
        <w:tc>
          <w:tcPr>
            <w:tcW w:w="1857" w:type="dxa"/>
            <w:tcBorders>
              <w:top w:val="single" w:sz="4" w:space="0" w:color="auto"/>
              <w:left w:val="single" w:sz="4" w:space="0" w:color="auto"/>
              <w:bottom w:val="single" w:sz="4" w:space="0" w:color="auto"/>
              <w:right w:val="single" w:sz="4" w:space="0" w:color="auto"/>
            </w:tcBorders>
            <w:vAlign w:val="center"/>
          </w:tcPr>
          <w:p w:rsidR="001D7B45" w:rsidRPr="00583A78" w:rsidRDefault="001D7B45" w:rsidP="002C3AF5">
            <w:pPr>
              <w:jc w:val="center"/>
              <w:rPr>
                <w:color w:val="000000"/>
                <w:szCs w:val="28"/>
              </w:rPr>
            </w:pPr>
            <w:r w:rsidRPr="00583A78">
              <w:rPr>
                <w:color w:val="000000"/>
                <w:szCs w:val="28"/>
              </w:rPr>
              <w:t>Sở Nội vụ</w:t>
            </w:r>
          </w:p>
        </w:tc>
        <w:tc>
          <w:tcPr>
            <w:tcW w:w="2127" w:type="dxa"/>
            <w:tcBorders>
              <w:top w:val="single" w:sz="4" w:space="0" w:color="auto"/>
              <w:left w:val="single" w:sz="4" w:space="0" w:color="auto"/>
              <w:bottom w:val="single" w:sz="4" w:space="0" w:color="auto"/>
              <w:right w:val="single" w:sz="4" w:space="0" w:color="auto"/>
            </w:tcBorders>
            <w:vAlign w:val="center"/>
          </w:tcPr>
          <w:p w:rsidR="001D7B45" w:rsidRPr="00583A78" w:rsidRDefault="001D7B45" w:rsidP="002C3AF5">
            <w:pPr>
              <w:jc w:val="center"/>
              <w:rPr>
                <w:color w:val="000000"/>
                <w:szCs w:val="28"/>
              </w:rPr>
            </w:pPr>
            <w:r w:rsidRPr="00583A78">
              <w:rPr>
                <w:color w:val="000000"/>
                <w:szCs w:val="28"/>
              </w:rPr>
              <w:t>957/SNV-TCCCVC</w:t>
            </w:r>
          </w:p>
        </w:tc>
        <w:tc>
          <w:tcPr>
            <w:tcW w:w="1683" w:type="dxa"/>
            <w:tcBorders>
              <w:top w:val="single" w:sz="4" w:space="0" w:color="auto"/>
              <w:left w:val="single" w:sz="4" w:space="0" w:color="auto"/>
              <w:bottom w:val="single" w:sz="4" w:space="0" w:color="auto"/>
              <w:right w:val="single" w:sz="4" w:space="0" w:color="auto"/>
            </w:tcBorders>
            <w:vAlign w:val="center"/>
          </w:tcPr>
          <w:p w:rsidR="001D7B45" w:rsidRPr="00583A78" w:rsidRDefault="001D7B45" w:rsidP="002C3AF5">
            <w:pPr>
              <w:jc w:val="center"/>
              <w:rPr>
                <w:color w:val="000000"/>
                <w:szCs w:val="28"/>
              </w:rPr>
            </w:pPr>
            <w:r w:rsidRPr="00583A78">
              <w:rPr>
                <w:color w:val="000000"/>
                <w:szCs w:val="28"/>
              </w:rPr>
              <w:t>30/6/2020</w:t>
            </w:r>
          </w:p>
        </w:tc>
        <w:tc>
          <w:tcPr>
            <w:tcW w:w="8525" w:type="dxa"/>
            <w:tcBorders>
              <w:top w:val="single" w:sz="4" w:space="0" w:color="auto"/>
              <w:left w:val="single" w:sz="4" w:space="0" w:color="auto"/>
              <w:bottom w:val="single" w:sz="4" w:space="0" w:color="auto"/>
              <w:right w:val="single" w:sz="4" w:space="0" w:color="auto"/>
            </w:tcBorders>
            <w:vAlign w:val="center"/>
          </w:tcPr>
          <w:p w:rsidR="001D7B45" w:rsidRPr="00583A78" w:rsidRDefault="001D7B45" w:rsidP="002C3AF5">
            <w:pPr>
              <w:jc w:val="both"/>
              <w:rPr>
                <w:color w:val="000000"/>
                <w:szCs w:val="28"/>
              </w:rPr>
            </w:pPr>
            <w:r w:rsidRPr="00583A78">
              <w:rPr>
                <w:color w:val="000000"/>
                <w:szCs w:val="28"/>
              </w:rPr>
              <w:t>Thống nhất với nội dung của bản Dự thảo</w:t>
            </w:r>
          </w:p>
        </w:tc>
      </w:tr>
      <w:tr w:rsidR="00F3016D" w:rsidRPr="00583A78" w:rsidTr="005E3596">
        <w:tc>
          <w:tcPr>
            <w:tcW w:w="550" w:type="dxa"/>
            <w:tcBorders>
              <w:top w:val="single" w:sz="4" w:space="0" w:color="auto"/>
              <w:left w:val="single" w:sz="4" w:space="0" w:color="auto"/>
              <w:bottom w:val="single" w:sz="4" w:space="0" w:color="auto"/>
              <w:right w:val="single" w:sz="4" w:space="0" w:color="auto"/>
            </w:tcBorders>
            <w:vAlign w:val="center"/>
          </w:tcPr>
          <w:p w:rsidR="00F3016D" w:rsidRPr="00583A78" w:rsidRDefault="00F3016D" w:rsidP="002C3AF5">
            <w:pPr>
              <w:jc w:val="center"/>
              <w:rPr>
                <w:szCs w:val="28"/>
              </w:rPr>
            </w:pPr>
            <w:r w:rsidRPr="00583A78">
              <w:rPr>
                <w:szCs w:val="28"/>
              </w:rPr>
              <w:t>6</w:t>
            </w:r>
          </w:p>
        </w:tc>
        <w:tc>
          <w:tcPr>
            <w:tcW w:w="1857" w:type="dxa"/>
            <w:tcBorders>
              <w:top w:val="single" w:sz="4" w:space="0" w:color="auto"/>
              <w:left w:val="single" w:sz="4" w:space="0" w:color="auto"/>
              <w:bottom w:val="single" w:sz="4" w:space="0" w:color="auto"/>
              <w:right w:val="single" w:sz="4" w:space="0" w:color="auto"/>
            </w:tcBorders>
            <w:vAlign w:val="center"/>
          </w:tcPr>
          <w:p w:rsidR="00F3016D" w:rsidRPr="00583A78" w:rsidRDefault="00F3016D" w:rsidP="002C3AF5">
            <w:pPr>
              <w:jc w:val="center"/>
              <w:rPr>
                <w:color w:val="000000"/>
                <w:szCs w:val="28"/>
              </w:rPr>
            </w:pPr>
            <w:r w:rsidRPr="00583A78">
              <w:rPr>
                <w:color w:val="000000"/>
                <w:szCs w:val="28"/>
              </w:rPr>
              <w:t>Trường Cao đẳng Cộng đồng Đắk Nông</w:t>
            </w:r>
          </w:p>
        </w:tc>
        <w:tc>
          <w:tcPr>
            <w:tcW w:w="2127" w:type="dxa"/>
            <w:tcBorders>
              <w:top w:val="single" w:sz="4" w:space="0" w:color="auto"/>
              <w:left w:val="single" w:sz="4" w:space="0" w:color="auto"/>
              <w:bottom w:val="single" w:sz="4" w:space="0" w:color="auto"/>
              <w:right w:val="single" w:sz="4" w:space="0" w:color="auto"/>
            </w:tcBorders>
            <w:vAlign w:val="center"/>
          </w:tcPr>
          <w:p w:rsidR="00F3016D" w:rsidRPr="00583A78" w:rsidRDefault="00F3016D" w:rsidP="002C3AF5">
            <w:pPr>
              <w:jc w:val="center"/>
              <w:rPr>
                <w:color w:val="000000"/>
                <w:szCs w:val="28"/>
              </w:rPr>
            </w:pPr>
            <w:r w:rsidRPr="00583A78">
              <w:rPr>
                <w:color w:val="000000"/>
                <w:szCs w:val="28"/>
              </w:rPr>
              <w:t>320/CĐCĐ-HSSV</w:t>
            </w:r>
          </w:p>
        </w:tc>
        <w:tc>
          <w:tcPr>
            <w:tcW w:w="1683" w:type="dxa"/>
            <w:tcBorders>
              <w:top w:val="single" w:sz="4" w:space="0" w:color="auto"/>
              <w:left w:val="single" w:sz="4" w:space="0" w:color="auto"/>
              <w:bottom w:val="single" w:sz="4" w:space="0" w:color="auto"/>
              <w:right w:val="single" w:sz="4" w:space="0" w:color="auto"/>
            </w:tcBorders>
            <w:vAlign w:val="center"/>
          </w:tcPr>
          <w:p w:rsidR="00F3016D" w:rsidRPr="00583A78" w:rsidRDefault="00F3016D" w:rsidP="002C3AF5">
            <w:pPr>
              <w:jc w:val="center"/>
              <w:rPr>
                <w:color w:val="000000"/>
                <w:szCs w:val="28"/>
              </w:rPr>
            </w:pPr>
            <w:r w:rsidRPr="00583A78">
              <w:rPr>
                <w:color w:val="000000"/>
                <w:szCs w:val="28"/>
              </w:rPr>
              <w:t>16/10/2020</w:t>
            </w:r>
          </w:p>
        </w:tc>
        <w:tc>
          <w:tcPr>
            <w:tcW w:w="8525" w:type="dxa"/>
            <w:tcBorders>
              <w:top w:val="single" w:sz="4" w:space="0" w:color="auto"/>
              <w:left w:val="single" w:sz="4" w:space="0" w:color="auto"/>
              <w:bottom w:val="single" w:sz="4" w:space="0" w:color="auto"/>
              <w:right w:val="single" w:sz="4" w:space="0" w:color="auto"/>
            </w:tcBorders>
            <w:vAlign w:val="center"/>
          </w:tcPr>
          <w:p w:rsidR="00F3016D" w:rsidRPr="00583A78" w:rsidRDefault="002C3AF5" w:rsidP="002C3AF5">
            <w:pPr>
              <w:pStyle w:val="ListParagraph"/>
              <w:tabs>
                <w:tab w:val="left" w:pos="90"/>
                <w:tab w:val="left" w:pos="900"/>
                <w:tab w:val="left" w:pos="990"/>
              </w:tabs>
              <w:ind w:left="0"/>
              <w:jc w:val="both"/>
              <w:rPr>
                <w:szCs w:val="28"/>
              </w:rPr>
            </w:pPr>
            <w:r w:rsidRPr="00583A78">
              <w:rPr>
                <w:szCs w:val="28"/>
              </w:rPr>
              <w:t xml:space="preserve">1. </w:t>
            </w:r>
            <w:r w:rsidR="00F3016D" w:rsidRPr="00583A78">
              <w:rPr>
                <w:szCs w:val="28"/>
              </w:rPr>
              <w:t>Nhà trường thống nhất về thể thức trình bày, nội dung, quy trình ban hành, tính hợp hiến, hợp pháp của Hồ sơ đề nghị xây dựng Nghị quyết, các số liệu liên quan đến nhu cầu hỗ trợ đào tạo và kiến nghị, đề xuất.</w:t>
            </w:r>
          </w:p>
          <w:p w:rsidR="00F3016D" w:rsidRPr="00583A78" w:rsidRDefault="002C3AF5" w:rsidP="002C3AF5">
            <w:pPr>
              <w:pStyle w:val="ListParagraph"/>
              <w:tabs>
                <w:tab w:val="left" w:pos="90"/>
                <w:tab w:val="left" w:pos="900"/>
                <w:tab w:val="left" w:pos="990"/>
              </w:tabs>
              <w:ind w:left="0"/>
              <w:jc w:val="both"/>
              <w:rPr>
                <w:szCs w:val="28"/>
              </w:rPr>
            </w:pPr>
            <w:r w:rsidRPr="00583A78">
              <w:rPr>
                <w:szCs w:val="28"/>
              </w:rPr>
              <w:t xml:space="preserve">2. </w:t>
            </w:r>
            <w:r w:rsidR="00F3016D" w:rsidRPr="00583A78">
              <w:rPr>
                <w:szCs w:val="28"/>
              </w:rPr>
              <w:t>Đề xuất bổ sung:</w:t>
            </w:r>
          </w:p>
          <w:p w:rsidR="00F3016D" w:rsidRPr="00583A78" w:rsidRDefault="00F3016D" w:rsidP="002C3AF5">
            <w:pPr>
              <w:pStyle w:val="ListParagraph"/>
              <w:tabs>
                <w:tab w:val="left" w:pos="90"/>
                <w:tab w:val="left" w:pos="900"/>
              </w:tabs>
              <w:ind w:left="0"/>
              <w:jc w:val="both"/>
              <w:rPr>
                <w:szCs w:val="28"/>
              </w:rPr>
            </w:pPr>
            <w:r w:rsidRPr="00583A78">
              <w:rPr>
                <w:szCs w:val="28"/>
              </w:rPr>
              <w:t xml:space="preserve"> Bổ sung đối tượng thụ hưởng chính sách hỗ trợ đào tạo nghề nghiệp: </w:t>
            </w:r>
          </w:p>
          <w:p w:rsidR="00F3016D" w:rsidRPr="00583A78" w:rsidRDefault="00F3016D" w:rsidP="002C3AF5">
            <w:pPr>
              <w:pStyle w:val="ListParagraph"/>
              <w:tabs>
                <w:tab w:val="left" w:pos="90"/>
                <w:tab w:val="left" w:pos="900"/>
              </w:tabs>
              <w:ind w:left="0"/>
              <w:jc w:val="both"/>
              <w:rPr>
                <w:szCs w:val="28"/>
              </w:rPr>
            </w:pPr>
            <w:r w:rsidRPr="00583A78">
              <w:rPr>
                <w:szCs w:val="28"/>
              </w:rPr>
              <w:t xml:space="preserve">- Đội ngũ nhà giáo cơ hữu thuộc biên chế tại các cơ sở giáo dục nghề nghiệp công lập của tỉnh </w:t>
            </w:r>
            <w:r w:rsidRPr="00583A78">
              <w:rPr>
                <w:szCs w:val="28"/>
                <w:shd w:val="clear" w:color="auto" w:fill="FFFFFF"/>
              </w:rPr>
              <w:t>thuộc t</w:t>
            </w:r>
            <w:r w:rsidRPr="00583A78">
              <w:rPr>
                <w:szCs w:val="28"/>
                <w:shd w:val="clear" w:color="auto" w:fill="FFFFFF"/>
                <w:lang w:val="vi-VN"/>
              </w:rPr>
              <w:t xml:space="preserve">rường </w:t>
            </w:r>
            <w:r w:rsidRPr="00583A78">
              <w:rPr>
                <w:i/>
                <w:szCs w:val="28"/>
                <w:shd w:val="clear" w:color="auto" w:fill="FFFFFF"/>
              </w:rPr>
              <w:t>C</w:t>
            </w:r>
            <w:r w:rsidRPr="00583A78">
              <w:rPr>
                <w:i/>
                <w:szCs w:val="28"/>
                <w:shd w:val="clear" w:color="auto" w:fill="FFFFFF"/>
                <w:lang w:val="vi-VN"/>
              </w:rPr>
              <w:t>huyên biệt</w:t>
            </w:r>
            <w:r w:rsidRPr="00583A78">
              <w:rPr>
                <w:i/>
                <w:szCs w:val="28"/>
                <w:shd w:val="clear" w:color="auto" w:fill="FFFFFF"/>
              </w:rPr>
              <w:t xml:space="preserve"> để</w:t>
            </w:r>
            <w:r w:rsidRPr="00583A78">
              <w:rPr>
                <w:i/>
                <w:szCs w:val="28"/>
                <w:shd w:val="clear" w:color="auto" w:fill="FFFFFF"/>
                <w:lang w:val="vi-VN"/>
              </w:rPr>
              <w:t xml:space="preserve"> đào tạo</w:t>
            </w:r>
            <w:r w:rsidRPr="00583A78">
              <w:rPr>
                <w:i/>
                <w:szCs w:val="28"/>
                <w:shd w:val="clear" w:color="auto" w:fill="FFFFFF"/>
              </w:rPr>
              <w:t xml:space="preserve"> cho</w:t>
            </w:r>
            <w:r w:rsidRPr="00583A78">
              <w:rPr>
                <w:i/>
                <w:szCs w:val="28"/>
                <w:shd w:val="clear" w:color="auto" w:fill="FFFFFF"/>
                <w:lang w:val="vi-VN"/>
              </w:rPr>
              <w:t xml:space="preserve"> một số nghề trọng điểm </w:t>
            </w:r>
            <w:r w:rsidRPr="00583A78">
              <w:rPr>
                <w:i/>
                <w:szCs w:val="28"/>
                <w:shd w:val="clear" w:color="auto" w:fill="FFFFFF"/>
              </w:rPr>
              <w:t xml:space="preserve">phục vụ phát triển kinh tế biển và các </w:t>
            </w:r>
            <w:r w:rsidRPr="00583A78">
              <w:rPr>
                <w:i/>
                <w:szCs w:val="28"/>
                <w:shd w:val="clear" w:color="auto" w:fill="FFFFFF"/>
                <w:lang w:val="vi-VN"/>
              </w:rPr>
              <w:t>đối tượng là người dân tộc thiểu số học nội trú</w:t>
            </w:r>
            <w:r w:rsidRPr="00583A78">
              <w:rPr>
                <w:i/>
                <w:szCs w:val="28"/>
                <w:shd w:val="clear" w:color="auto" w:fill="FFFFFF"/>
              </w:rPr>
              <w:t>, người khuyết tật</w:t>
            </w:r>
            <w:r w:rsidRPr="00583A78">
              <w:rPr>
                <w:szCs w:val="28"/>
                <w:shd w:val="clear" w:color="auto" w:fill="FFFFFF"/>
              </w:rPr>
              <w:t xml:space="preserve"> theo </w:t>
            </w:r>
            <w:r w:rsidRPr="00583A78">
              <w:rPr>
                <w:szCs w:val="28"/>
              </w:rPr>
              <w:t>Quyết định số 1769/QĐ-LĐTBXH, ngày 25/11/2019 của Bộ Lao động - Thương binh và Xã hội về phê duyệt ngành, nghề trọng điểm; trường được lựa chọn ngành, nghề trọng điểm giai đoạn 2016-2020 và định hướng đến năm 2025;</w:t>
            </w:r>
          </w:p>
          <w:p w:rsidR="00F3016D" w:rsidRPr="00583A78" w:rsidRDefault="00F3016D" w:rsidP="002C3AF5">
            <w:pPr>
              <w:pStyle w:val="ListParagraph"/>
              <w:tabs>
                <w:tab w:val="left" w:pos="90"/>
                <w:tab w:val="left" w:pos="900"/>
              </w:tabs>
              <w:ind w:left="0"/>
              <w:jc w:val="both"/>
              <w:rPr>
                <w:szCs w:val="28"/>
              </w:rPr>
            </w:pPr>
            <w:r w:rsidRPr="00583A78">
              <w:rPr>
                <w:szCs w:val="28"/>
              </w:rPr>
              <w:t>- Người bị thu hồi đất canh tác.</w:t>
            </w:r>
          </w:p>
          <w:p w:rsidR="00BA3496" w:rsidRPr="00583A78" w:rsidRDefault="00BA3496" w:rsidP="00BA3496">
            <w:pPr>
              <w:jc w:val="both"/>
              <w:rPr>
                <w:szCs w:val="28"/>
              </w:rPr>
            </w:pPr>
            <w:r w:rsidRPr="00583A78">
              <w:rPr>
                <w:b/>
                <w:i/>
                <w:szCs w:val="28"/>
                <w:u w:val="single"/>
              </w:rPr>
              <w:t>Giải trình:</w:t>
            </w:r>
          </w:p>
          <w:p w:rsidR="00BA3496" w:rsidRPr="00583A78" w:rsidRDefault="00BA3496" w:rsidP="00BA3496">
            <w:pPr>
              <w:jc w:val="both"/>
              <w:rPr>
                <w:szCs w:val="28"/>
              </w:rPr>
            </w:pPr>
            <w:r w:rsidRPr="00583A78">
              <w:rPr>
                <w:szCs w:val="28"/>
              </w:rPr>
              <w:t>- Đối với đề xuất bổ sung thêm đối tượng thụ hưởng là người bị thu hồi đất canh tác cơ qua</w:t>
            </w:r>
            <w:r w:rsidR="00762FCF" w:rsidRPr="00583A78">
              <w:rPr>
                <w:szCs w:val="28"/>
              </w:rPr>
              <w:t>n soạn thảo tiếp thu và bổ sung trong dự thảo</w:t>
            </w:r>
            <w:r w:rsidRPr="00583A78">
              <w:rPr>
                <w:szCs w:val="28"/>
              </w:rPr>
              <w:t>.</w:t>
            </w:r>
          </w:p>
          <w:p w:rsidR="00BA3496" w:rsidRPr="00583A78" w:rsidRDefault="00BA3496" w:rsidP="00BA3496">
            <w:pPr>
              <w:pStyle w:val="ListParagraph"/>
              <w:tabs>
                <w:tab w:val="left" w:pos="90"/>
                <w:tab w:val="left" w:pos="900"/>
              </w:tabs>
              <w:ind w:left="0"/>
              <w:jc w:val="both"/>
              <w:rPr>
                <w:szCs w:val="28"/>
              </w:rPr>
            </w:pPr>
            <w:r w:rsidRPr="00583A78">
              <w:rPr>
                <w:szCs w:val="28"/>
              </w:rPr>
              <w:t xml:space="preserve">- Đối với đề nghị bổ sung đối tượng thụ hưởng là đội ngũ nhà giáo cơ hữu thuộc biên chế tại các cơ sở giáo dục nghề nghiệp công lập của tỉnh </w:t>
            </w:r>
            <w:r w:rsidRPr="00583A78">
              <w:rPr>
                <w:szCs w:val="28"/>
                <w:shd w:val="clear" w:color="auto" w:fill="FFFFFF"/>
              </w:rPr>
              <w:t>thuộc t</w:t>
            </w:r>
            <w:r w:rsidRPr="00583A78">
              <w:rPr>
                <w:szCs w:val="28"/>
                <w:shd w:val="clear" w:color="auto" w:fill="FFFFFF"/>
                <w:lang w:val="vi-VN"/>
              </w:rPr>
              <w:t xml:space="preserve">rường </w:t>
            </w:r>
            <w:r w:rsidRPr="00583A78">
              <w:rPr>
                <w:i/>
                <w:szCs w:val="28"/>
                <w:shd w:val="clear" w:color="auto" w:fill="FFFFFF"/>
              </w:rPr>
              <w:t>C</w:t>
            </w:r>
            <w:r w:rsidRPr="00583A78">
              <w:rPr>
                <w:i/>
                <w:szCs w:val="28"/>
                <w:shd w:val="clear" w:color="auto" w:fill="FFFFFF"/>
                <w:lang w:val="vi-VN"/>
              </w:rPr>
              <w:t>huyên biệt</w:t>
            </w:r>
            <w:r w:rsidRPr="00583A78">
              <w:rPr>
                <w:i/>
                <w:szCs w:val="28"/>
                <w:shd w:val="clear" w:color="auto" w:fill="FFFFFF"/>
              </w:rPr>
              <w:t xml:space="preserve"> để</w:t>
            </w:r>
            <w:r w:rsidRPr="00583A78">
              <w:rPr>
                <w:i/>
                <w:szCs w:val="28"/>
                <w:shd w:val="clear" w:color="auto" w:fill="FFFFFF"/>
                <w:lang w:val="vi-VN"/>
              </w:rPr>
              <w:t xml:space="preserve"> đào tạo</w:t>
            </w:r>
            <w:r w:rsidRPr="00583A78">
              <w:rPr>
                <w:i/>
                <w:szCs w:val="28"/>
                <w:shd w:val="clear" w:color="auto" w:fill="FFFFFF"/>
              </w:rPr>
              <w:t xml:space="preserve"> cho</w:t>
            </w:r>
            <w:r w:rsidRPr="00583A78">
              <w:rPr>
                <w:i/>
                <w:szCs w:val="28"/>
                <w:shd w:val="clear" w:color="auto" w:fill="FFFFFF"/>
                <w:lang w:val="vi-VN"/>
              </w:rPr>
              <w:t xml:space="preserve"> một số nghề trọng điểm </w:t>
            </w:r>
            <w:r w:rsidRPr="00583A78">
              <w:rPr>
                <w:i/>
                <w:szCs w:val="28"/>
                <w:shd w:val="clear" w:color="auto" w:fill="FFFFFF"/>
              </w:rPr>
              <w:t xml:space="preserve">phục vụ phát triển kinh tế biển và các </w:t>
            </w:r>
            <w:r w:rsidRPr="00583A78">
              <w:rPr>
                <w:i/>
                <w:szCs w:val="28"/>
                <w:shd w:val="clear" w:color="auto" w:fill="FFFFFF"/>
                <w:lang w:val="vi-VN"/>
              </w:rPr>
              <w:t>đối tượng là người dân tộc thiểu số học nội trú</w:t>
            </w:r>
            <w:r w:rsidRPr="00583A78">
              <w:rPr>
                <w:i/>
                <w:szCs w:val="28"/>
                <w:shd w:val="clear" w:color="auto" w:fill="FFFFFF"/>
              </w:rPr>
              <w:t>, người khuyết tật</w:t>
            </w:r>
            <w:r w:rsidRPr="00583A78">
              <w:rPr>
                <w:szCs w:val="28"/>
                <w:shd w:val="clear" w:color="auto" w:fill="FFFFFF"/>
              </w:rPr>
              <w:t xml:space="preserve"> theo </w:t>
            </w:r>
            <w:r w:rsidRPr="00583A78">
              <w:rPr>
                <w:szCs w:val="28"/>
              </w:rPr>
              <w:t xml:space="preserve">Quyết định số 1769/QĐ-LĐTBXH, ngày 25/11/2019 của Bộ Lao động - Thương binh và Xã hội về phê duyệt ngành, nghề trọng điểm; trường được lựa chọn ngành, nghề trọng điểm giai đoạn 2016-2020 và định hướng đến năm 2025: Hiện nay, </w:t>
            </w:r>
            <w:r w:rsidR="00762FCF" w:rsidRPr="00583A78">
              <w:rPr>
                <w:szCs w:val="28"/>
              </w:rPr>
              <w:t xml:space="preserve">theo chủ trương của Ban Chấp hành Trung ương Đảng tại Nghị quyết số 27-NQ/TW ngày 21/5/2018 </w:t>
            </w:r>
            <w:bookmarkStart w:id="1" w:name="loai_1_name_name"/>
            <w:r w:rsidR="00762FCF" w:rsidRPr="00583A78">
              <w:rPr>
                <w:szCs w:val="28"/>
              </w:rPr>
              <w:t>v</w:t>
            </w:r>
            <w:r w:rsidR="00762FCF" w:rsidRPr="00583A78">
              <w:rPr>
                <w:color w:val="000000"/>
                <w:szCs w:val="28"/>
                <w:shd w:val="clear" w:color="auto" w:fill="FFFFFF"/>
                <w:lang w:val="vi-VN"/>
              </w:rPr>
              <w:t xml:space="preserve">ề cải cách chính sách tiền lương đối với cán bộ, công chức, viên chức, lực lượng vũ trang và người lao động trong doanh </w:t>
            </w:r>
            <w:r w:rsidR="00762FCF" w:rsidRPr="00583A78">
              <w:rPr>
                <w:color w:val="000000"/>
                <w:szCs w:val="28"/>
                <w:shd w:val="clear" w:color="auto" w:fill="FFFFFF"/>
                <w:lang w:val="vi-VN"/>
              </w:rPr>
              <w:lastRenderedPageBreak/>
              <w:t>nghiệp</w:t>
            </w:r>
            <w:bookmarkEnd w:id="1"/>
            <w:r w:rsidR="00762FCF" w:rsidRPr="00583A78">
              <w:rPr>
                <w:color w:val="000000"/>
                <w:szCs w:val="28"/>
                <w:shd w:val="clear" w:color="auto" w:fill="FFFFFF"/>
              </w:rPr>
              <w:t xml:space="preserve"> thì trong giai đoạn</w:t>
            </w:r>
            <w:r w:rsidR="003E282A" w:rsidRPr="00583A78">
              <w:rPr>
                <w:color w:val="000000"/>
                <w:szCs w:val="28"/>
                <w:shd w:val="clear" w:color="auto" w:fill="FFFFFF"/>
              </w:rPr>
              <w:t xml:space="preserve"> sắp</w:t>
            </w:r>
            <w:r w:rsidR="00762FCF" w:rsidRPr="00583A78">
              <w:rPr>
                <w:color w:val="000000"/>
                <w:szCs w:val="28"/>
                <w:shd w:val="clear" w:color="auto" w:fill="FFFFFF"/>
              </w:rPr>
              <w:t xml:space="preserve"> tới </w:t>
            </w:r>
            <w:r w:rsidR="00936C17" w:rsidRPr="00583A78">
              <w:rPr>
                <w:i/>
                <w:color w:val="000000"/>
                <w:szCs w:val="28"/>
                <w:shd w:val="clear" w:color="auto" w:fill="FFFFFF"/>
              </w:rPr>
              <w:t>"không bổ sung các loại phụ cấp mới theo nghề"</w:t>
            </w:r>
            <w:r w:rsidR="00936C17" w:rsidRPr="00583A78">
              <w:rPr>
                <w:color w:val="000000"/>
                <w:szCs w:val="28"/>
                <w:shd w:val="clear" w:color="auto" w:fill="FFFFFF"/>
              </w:rPr>
              <w:t xml:space="preserve"> đồng thời </w:t>
            </w:r>
            <w:r w:rsidR="00936C17" w:rsidRPr="00583A78">
              <w:rPr>
                <w:i/>
                <w:color w:val="000000"/>
                <w:szCs w:val="28"/>
                <w:shd w:val="clear" w:color="auto" w:fill="FFFFFF"/>
              </w:rPr>
              <w:t>"</w:t>
            </w:r>
            <w:r w:rsidR="003E282A" w:rsidRPr="00583A78">
              <w:rPr>
                <w:i/>
                <w:color w:val="000000"/>
                <w:szCs w:val="28"/>
                <w:shd w:val="clear" w:color="auto" w:fill="FFFFFF"/>
              </w:rPr>
              <w:t>Gộp phụ cấp ưu đãi theo nghề, phụ cấp trách nhiệm theo nghề và phụ cấp độc hại, nguy hiểm (gọi chung là phụ cấp theo nghề)</w:t>
            </w:r>
            <w:r w:rsidR="00936C17" w:rsidRPr="00583A78">
              <w:rPr>
                <w:i/>
                <w:color w:val="000000"/>
                <w:szCs w:val="28"/>
                <w:shd w:val="clear" w:color="auto" w:fill="FFFFFF"/>
              </w:rPr>
              <w:t>"</w:t>
            </w:r>
            <w:r w:rsidR="003E282A" w:rsidRPr="00583A78">
              <w:rPr>
                <w:color w:val="000000"/>
                <w:szCs w:val="28"/>
                <w:shd w:val="clear" w:color="auto" w:fill="FFFFFF"/>
              </w:rPr>
              <w:t>.</w:t>
            </w:r>
            <w:r w:rsidR="00897559" w:rsidRPr="00583A78">
              <w:rPr>
                <w:color w:val="000000"/>
                <w:szCs w:val="28"/>
                <w:shd w:val="clear" w:color="auto" w:fill="FFFFFF"/>
              </w:rPr>
              <w:t xml:space="preserve"> Vì vậy, cơ quan soạn thảo đề nghị không tiếp thu góp ý.</w:t>
            </w:r>
          </w:p>
          <w:p w:rsidR="00F3016D" w:rsidRPr="00583A78" w:rsidRDefault="00F3016D" w:rsidP="002C3AF5">
            <w:pPr>
              <w:tabs>
                <w:tab w:val="left" w:pos="90"/>
                <w:tab w:val="left" w:pos="900"/>
              </w:tabs>
              <w:jc w:val="both"/>
              <w:rPr>
                <w:szCs w:val="28"/>
              </w:rPr>
            </w:pPr>
            <w:r w:rsidRPr="00583A78">
              <w:rPr>
                <w:szCs w:val="28"/>
              </w:rPr>
              <w:t>3. Các nội dung bổ sung, chỉnh sửa cụ thể:</w:t>
            </w:r>
          </w:p>
          <w:p w:rsidR="00F3016D" w:rsidRPr="00583A78" w:rsidRDefault="00F3016D" w:rsidP="002C3AF5">
            <w:pPr>
              <w:tabs>
                <w:tab w:val="left" w:pos="90"/>
                <w:tab w:val="left" w:pos="900"/>
              </w:tabs>
              <w:jc w:val="both"/>
              <w:rPr>
                <w:szCs w:val="28"/>
              </w:rPr>
            </w:pPr>
            <w:r w:rsidRPr="00583A78">
              <w:rPr>
                <w:szCs w:val="28"/>
              </w:rPr>
              <w:t xml:space="preserve">- Nội dung 1: </w:t>
            </w:r>
            <w:r w:rsidRPr="00583A78">
              <w:rPr>
                <w:bCs/>
                <w:szCs w:val="28"/>
                <w:lang w:val="nb-NO"/>
              </w:rPr>
              <w:t>Về p</w:t>
            </w:r>
            <w:r w:rsidRPr="00583A78">
              <w:rPr>
                <w:bCs/>
                <w:szCs w:val="28"/>
              </w:rPr>
              <w:t xml:space="preserve">hạm vi điều chỉnh, đối tượng áp </w:t>
            </w:r>
            <w:r w:rsidRPr="00583A78">
              <w:rPr>
                <w:szCs w:val="28"/>
              </w:rPr>
              <w:t>dụng:</w:t>
            </w:r>
          </w:p>
          <w:p w:rsidR="00F3016D" w:rsidRPr="00583A78" w:rsidRDefault="00F3016D" w:rsidP="002C3AF5">
            <w:pPr>
              <w:tabs>
                <w:tab w:val="left" w:pos="90"/>
                <w:tab w:val="left" w:pos="900"/>
              </w:tabs>
              <w:jc w:val="both"/>
              <w:rPr>
                <w:szCs w:val="28"/>
              </w:rPr>
            </w:pPr>
            <w:r w:rsidRPr="00583A78">
              <w:rPr>
                <w:szCs w:val="28"/>
              </w:rPr>
              <w:t xml:space="preserve">+ Tại trang 1, dòng thứ 11 bổ sung thêm cụm từ “trung cấp”. </w:t>
            </w:r>
          </w:p>
          <w:p w:rsidR="00897559" w:rsidRPr="00583A78" w:rsidRDefault="00897559" w:rsidP="00897559">
            <w:pPr>
              <w:jc w:val="both"/>
              <w:rPr>
                <w:szCs w:val="28"/>
              </w:rPr>
            </w:pPr>
            <w:r w:rsidRPr="00583A78">
              <w:rPr>
                <w:b/>
                <w:i/>
                <w:szCs w:val="28"/>
                <w:u w:val="single"/>
              </w:rPr>
              <w:t>Giải trình:</w:t>
            </w:r>
          </w:p>
          <w:p w:rsidR="00897559" w:rsidRPr="00583A78" w:rsidRDefault="00897559" w:rsidP="002C3AF5">
            <w:pPr>
              <w:tabs>
                <w:tab w:val="left" w:pos="90"/>
                <w:tab w:val="left" w:pos="900"/>
              </w:tabs>
              <w:jc w:val="both"/>
              <w:rPr>
                <w:szCs w:val="28"/>
              </w:rPr>
            </w:pPr>
            <w:r w:rsidRPr="00583A78">
              <w:rPr>
                <w:szCs w:val="28"/>
              </w:rPr>
              <w:t>- Cơ quan soạn thảo tiếp thu và bổ sung trong dự thảo</w:t>
            </w:r>
          </w:p>
          <w:p w:rsidR="00F3016D" w:rsidRPr="00583A78" w:rsidRDefault="00F3016D" w:rsidP="002C3AF5">
            <w:pPr>
              <w:tabs>
                <w:tab w:val="left" w:pos="90"/>
                <w:tab w:val="left" w:pos="900"/>
              </w:tabs>
              <w:jc w:val="both"/>
              <w:rPr>
                <w:szCs w:val="28"/>
              </w:rPr>
            </w:pPr>
            <w:r w:rsidRPr="00583A78">
              <w:rPr>
                <w:szCs w:val="28"/>
              </w:rPr>
              <w:t>+ Điều chỉnh độ tuổi của người học từ 15 tuổi trở lên và bổ sung đối tượng “người bị thu hồi đất canh tác vào học nghề”,.</w:t>
            </w:r>
          </w:p>
          <w:p w:rsidR="00897559" w:rsidRPr="00583A78" w:rsidRDefault="00897559" w:rsidP="00897559">
            <w:pPr>
              <w:jc w:val="both"/>
              <w:rPr>
                <w:szCs w:val="28"/>
              </w:rPr>
            </w:pPr>
            <w:r w:rsidRPr="00583A78">
              <w:rPr>
                <w:b/>
                <w:i/>
                <w:szCs w:val="28"/>
                <w:u w:val="single"/>
              </w:rPr>
              <w:t>Giải trình:</w:t>
            </w:r>
          </w:p>
          <w:p w:rsidR="00131966" w:rsidRPr="00583A78" w:rsidRDefault="00131966" w:rsidP="00131966">
            <w:pPr>
              <w:tabs>
                <w:tab w:val="left" w:pos="90"/>
                <w:tab w:val="left" w:pos="900"/>
              </w:tabs>
              <w:jc w:val="both"/>
              <w:rPr>
                <w:szCs w:val="28"/>
              </w:rPr>
            </w:pPr>
            <w:r w:rsidRPr="00583A78">
              <w:rPr>
                <w:szCs w:val="28"/>
              </w:rPr>
              <w:t>- Cơ quan soạn thảo tiếp thu và bổ sung trong dự thảo</w:t>
            </w:r>
          </w:p>
          <w:p w:rsidR="00F3016D" w:rsidRPr="00583A78" w:rsidRDefault="00F3016D" w:rsidP="002C3AF5">
            <w:pPr>
              <w:tabs>
                <w:tab w:val="left" w:pos="90"/>
                <w:tab w:val="left" w:pos="900"/>
              </w:tabs>
              <w:jc w:val="both"/>
              <w:rPr>
                <w:bCs/>
                <w:szCs w:val="28"/>
              </w:rPr>
            </w:pPr>
            <w:r w:rsidRPr="00583A78">
              <w:rPr>
                <w:bCs/>
                <w:szCs w:val="28"/>
              </w:rPr>
              <w:t xml:space="preserve">+ Tại tiết a, điểm 2.1, khoản 2. Hỗ trợ đào tạo nghề nghiệp, bổ sung </w:t>
            </w:r>
            <w:r w:rsidRPr="00583A78">
              <w:rPr>
                <w:bCs/>
                <w:i/>
                <w:szCs w:val="28"/>
              </w:rPr>
              <w:t>“giảng dạy tích hợp (vừa lý thuyết vừa thực hành)</w:t>
            </w:r>
            <w:r w:rsidRPr="00583A78">
              <w:rPr>
                <w:bCs/>
                <w:szCs w:val="28"/>
              </w:rPr>
              <w:t xml:space="preserve">”, </w:t>
            </w:r>
          </w:p>
          <w:p w:rsidR="00131966" w:rsidRPr="00583A78" w:rsidRDefault="00131966" w:rsidP="00131966">
            <w:pPr>
              <w:jc w:val="both"/>
              <w:rPr>
                <w:szCs w:val="28"/>
              </w:rPr>
            </w:pPr>
            <w:r w:rsidRPr="00583A78">
              <w:rPr>
                <w:b/>
                <w:i/>
                <w:szCs w:val="28"/>
                <w:u w:val="single"/>
              </w:rPr>
              <w:t>Giải trình:</w:t>
            </w:r>
          </w:p>
          <w:p w:rsidR="00131966" w:rsidRPr="00583A78" w:rsidRDefault="00131966" w:rsidP="00131966">
            <w:pPr>
              <w:tabs>
                <w:tab w:val="left" w:pos="90"/>
                <w:tab w:val="left" w:pos="900"/>
              </w:tabs>
              <w:jc w:val="both"/>
              <w:rPr>
                <w:szCs w:val="28"/>
              </w:rPr>
            </w:pPr>
            <w:r w:rsidRPr="00583A78">
              <w:rPr>
                <w:szCs w:val="28"/>
              </w:rPr>
              <w:t>- Cơ quan soạn thảo tiếp thu và bổ sung trong dự thảo</w:t>
            </w:r>
          </w:p>
          <w:p w:rsidR="00F3016D" w:rsidRPr="00583A78" w:rsidRDefault="00F3016D" w:rsidP="002C3AF5">
            <w:pPr>
              <w:shd w:val="clear" w:color="auto" w:fill="FFFFFF"/>
              <w:tabs>
                <w:tab w:val="left" w:pos="90"/>
                <w:tab w:val="left" w:pos="900"/>
              </w:tabs>
              <w:jc w:val="both"/>
              <w:rPr>
                <w:szCs w:val="28"/>
              </w:rPr>
            </w:pPr>
            <w:r w:rsidRPr="00583A78">
              <w:rPr>
                <w:szCs w:val="28"/>
              </w:rPr>
              <w:t>b) (hoặc 3% mức lương theo vị trí việc làm khi có điều</w:t>
            </w:r>
            <w:r w:rsidR="00B00C68" w:rsidRPr="00583A78">
              <w:rPr>
                <w:szCs w:val="28"/>
              </w:rPr>
              <w:t xml:space="preserve"> chỉnh về lương của Chính phủ)</w:t>
            </w:r>
          </w:p>
          <w:p w:rsidR="00B00C68" w:rsidRPr="00583A78" w:rsidRDefault="00B00C68" w:rsidP="00B00C68">
            <w:pPr>
              <w:jc w:val="both"/>
              <w:rPr>
                <w:szCs w:val="28"/>
              </w:rPr>
            </w:pPr>
            <w:r w:rsidRPr="00583A78">
              <w:rPr>
                <w:b/>
                <w:i/>
                <w:szCs w:val="28"/>
                <w:u w:val="single"/>
              </w:rPr>
              <w:t>Giải trình:</w:t>
            </w:r>
          </w:p>
          <w:p w:rsidR="00B00C68" w:rsidRPr="00583A78" w:rsidRDefault="00B00C68" w:rsidP="00B00C68">
            <w:pPr>
              <w:tabs>
                <w:tab w:val="left" w:pos="90"/>
                <w:tab w:val="left" w:pos="900"/>
              </w:tabs>
              <w:jc w:val="both"/>
              <w:rPr>
                <w:szCs w:val="28"/>
              </w:rPr>
            </w:pPr>
            <w:r w:rsidRPr="00583A78">
              <w:rPr>
                <w:szCs w:val="28"/>
              </w:rPr>
              <w:t>- Cơ quan soạn thảo tiếp thu và bổ sung trong dự thảo</w:t>
            </w:r>
          </w:p>
          <w:p w:rsidR="00F3016D" w:rsidRPr="00583A78" w:rsidRDefault="00F3016D" w:rsidP="002C3AF5">
            <w:pPr>
              <w:shd w:val="clear" w:color="auto" w:fill="FFFFFF"/>
              <w:tabs>
                <w:tab w:val="left" w:pos="90"/>
                <w:tab w:val="left" w:pos="900"/>
              </w:tabs>
              <w:jc w:val="both"/>
              <w:rPr>
                <w:szCs w:val="28"/>
              </w:rPr>
            </w:pPr>
            <w:r w:rsidRPr="00583A78">
              <w:rPr>
                <w:szCs w:val="28"/>
              </w:rPr>
              <w:t>d) Thời gian hưởng hỗ trợ được tính khi học sinh, sinh viên được tuyển sinh trong thời gian từ tháng 01 năm 2021 đến năm 2025 cho đến khi hoàn thành khóa học và tối đa không quá 10 tháng trong một năm.</w:t>
            </w:r>
          </w:p>
          <w:p w:rsidR="00B00C68" w:rsidRPr="00583A78" w:rsidRDefault="00B00C68" w:rsidP="00B00C68">
            <w:pPr>
              <w:jc w:val="both"/>
              <w:rPr>
                <w:szCs w:val="28"/>
              </w:rPr>
            </w:pPr>
            <w:r w:rsidRPr="00583A78">
              <w:rPr>
                <w:b/>
                <w:i/>
                <w:szCs w:val="28"/>
                <w:u w:val="single"/>
              </w:rPr>
              <w:t>Giải trình:</w:t>
            </w:r>
          </w:p>
          <w:p w:rsidR="00B00C68" w:rsidRPr="00583A78" w:rsidRDefault="00B00C68" w:rsidP="00B00C68">
            <w:pPr>
              <w:tabs>
                <w:tab w:val="left" w:pos="90"/>
                <w:tab w:val="left" w:pos="900"/>
              </w:tabs>
              <w:jc w:val="both"/>
              <w:rPr>
                <w:szCs w:val="28"/>
              </w:rPr>
            </w:pPr>
            <w:r w:rsidRPr="00583A78">
              <w:rPr>
                <w:szCs w:val="28"/>
              </w:rPr>
              <w:t>- Cơ quan soạn thảo tiếp thu và bổ sung trong dự thảo</w:t>
            </w:r>
          </w:p>
          <w:p w:rsidR="00F3016D" w:rsidRPr="00583A78" w:rsidRDefault="00F3016D" w:rsidP="002C3AF5">
            <w:pPr>
              <w:shd w:val="clear" w:color="auto" w:fill="FFFFFF"/>
              <w:tabs>
                <w:tab w:val="left" w:pos="90"/>
                <w:tab w:val="left" w:pos="900"/>
              </w:tabs>
              <w:jc w:val="both"/>
              <w:rPr>
                <w:szCs w:val="28"/>
              </w:rPr>
            </w:pPr>
            <w:r w:rsidRPr="00583A78">
              <w:rPr>
                <w:szCs w:val="28"/>
              </w:rPr>
              <w:t xml:space="preserve">- Nội dung 4: Tại tiết b, điểm 2.1, khoản 2 đề xuất đến năm học 2024-2025 vẫn tiếp tục hỗ trợ cho đối tượng học hệ trung cấp; đề xuất mức hỗ trợ đào tạo nghề nghiệp hệ trung cấp, cao đẳng theo đặc thù từng lĩnh vực ngành, nghề được quy định tại </w:t>
            </w:r>
            <w:r w:rsidRPr="00583A78">
              <w:rPr>
                <w:bCs/>
                <w:szCs w:val="28"/>
              </w:rPr>
              <w:t>Nghị định 86/2015/NĐ-CP</w:t>
            </w:r>
            <w:r w:rsidRPr="00583A78">
              <w:rPr>
                <w:szCs w:val="28"/>
              </w:rPr>
              <w:t xml:space="preserve"> ngày 02/10/2015 của Chính phủ quy định về cơ sở cơ chế thu, quản lý học phì đối với cơ sở giáo dục thuộc hệ thống giáo dục quốc dân và chính sách </w:t>
            </w:r>
            <w:r w:rsidRPr="00583A78">
              <w:rPr>
                <w:szCs w:val="28"/>
              </w:rPr>
              <w:lastRenderedPageBreak/>
              <w:t>miễn, giảm học phí, hỗ trợ chi phí học tập đến năm học 2020 - 2021; N</w:t>
            </w:r>
            <w:r w:rsidRPr="00583A78">
              <w:rPr>
                <w:bCs/>
                <w:szCs w:val="28"/>
              </w:rPr>
              <w:t xml:space="preserve">ghị quyết số 26/2015/NQ-HĐND ngày 10/12/2015 của Hội đồng nhân dân tỉnh Đắk Nông Quy định mức thu học phí đối với các cơ sở giáo dục công lập từ năm học 2015-2016 đến năm học 2020-2021 trên địa bàn tỉnh Đắk Nông và các văn bản pháp luật khác có liên quan </w:t>
            </w:r>
            <w:r w:rsidRPr="00583A78">
              <w:rPr>
                <w:szCs w:val="28"/>
              </w:rPr>
              <w:t xml:space="preserve">hoặc xem xét hỗ trợ 100% mức học phí cho các nghành, nghề theo quy định của các cơ sở giáo dục nghề nghiệp. </w:t>
            </w:r>
          </w:p>
          <w:p w:rsidR="00F3016D" w:rsidRPr="00583A78" w:rsidRDefault="00F3016D" w:rsidP="002C3AF5">
            <w:pPr>
              <w:tabs>
                <w:tab w:val="left" w:pos="90"/>
                <w:tab w:val="left" w:pos="900"/>
              </w:tabs>
              <w:rPr>
                <w:bCs/>
                <w:i/>
                <w:szCs w:val="28"/>
              </w:rPr>
            </w:pPr>
            <w:r w:rsidRPr="00583A78">
              <w:rPr>
                <w:bCs/>
                <w:i/>
                <w:szCs w:val="28"/>
              </w:rPr>
              <w:t>Nội dung dự thảo:</w:t>
            </w:r>
          </w:p>
          <w:p w:rsidR="00F3016D" w:rsidRPr="00583A78" w:rsidRDefault="00F3016D" w:rsidP="002C3AF5">
            <w:pPr>
              <w:tabs>
                <w:tab w:val="left" w:pos="90"/>
                <w:tab w:val="left" w:pos="900"/>
              </w:tabs>
              <w:rPr>
                <w:bCs/>
                <w:szCs w:val="28"/>
              </w:rPr>
            </w:pPr>
            <w:r w:rsidRPr="00583A78">
              <w:rPr>
                <w:bCs/>
                <w:szCs w:val="28"/>
              </w:rPr>
              <w:t>b) Mức hỗ trợ đào tạo nghề nghiệp</w:t>
            </w:r>
          </w:p>
          <w:p w:rsidR="00F3016D" w:rsidRPr="00583A78" w:rsidRDefault="00F3016D" w:rsidP="002C3AF5">
            <w:pPr>
              <w:tabs>
                <w:tab w:val="left" w:pos="90"/>
                <w:tab w:val="left" w:pos="900"/>
              </w:tabs>
              <w:rPr>
                <w:bCs/>
                <w:szCs w:val="28"/>
              </w:rPr>
            </w:pPr>
            <w:r w:rsidRPr="00583A78">
              <w:rPr>
                <w:bCs/>
                <w:szCs w:val="28"/>
              </w:rPr>
              <w:t xml:space="preserve">Ngân sách nhà nước hỗ trợ được tính trên số học sinh, sinh viên ở cấp trình độ đào tạo cao đẳng, trung cấp theo từng năm học như sau: </w:t>
            </w:r>
          </w:p>
          <w:p w:rsidR="00F3016D" w:rsidRPr="00583A78" w:rsidRDefault="00F3016D" w:rsidP="002C3AF5">
            <w:pPr>
              <w:tabs>
                <w:tab w:val="left" w:pos="90"/>
                <w:tab w:val="left" w:pos="900"/>
              </w:tabs>
              <w:ind w:firstLine="547"/>
              <w:rPr>
                <w:bCs/>
                <w:szCs w:val="28"/>
              </w:rPr>
            </w:pPr>
            <w:r w:rsidRPr="00583A78">
              <w:rPr>
                <w:bCs/>
                <w:szCs w:val="28"/>
              </w:rPr>
              <w:t xml:space="preserve">                                           Đơn vị tính: đồng/năm học/học sinh, sinh viên</w:t>
            </w:r>
          </w:p>
          <w:tbl>
            <w:tblPr>
              <w:tblW w:w="4757"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1815"/>
              <w:gridCol w:w="2784"/>
              <w:gridCol w:w="3287"/>
            </w:tblGrid>
            <w:tr w:rsidR="00F3016D" w:rsidRPr="00583A78" w:rsidTr="00A824F6">
              <w:tc>
                <w:tcPr>
                  <w:tcW w:w="115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016D" w:rsidRPr="00583A78" w:rsidRDefault="00F3016D" w:rsidP="002C3AF5">
                  <w:pPr>
                    <w:jc w:val="center"/>
                    <w:rPr>
                      <w:bCs/>
                      <w:szCs w:val="28"/>
                    </w:rPr>
                  </w:pPr>
                  <w:r w:rsidRPr="00583A78">
                    <w:rPr>
                      <w:bCs/>
                      <w:szCs w:val="28"/>
                    </w:rPr>
                    <w:t>Năm học</w:t>
                  </w:r>
                </w:p>
              </w:tc>
              <w:tc>
                <w:tcPr>
                  <w:tcW w:w="3849"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016D" w:rsidRPr="00583A78" w:rsidRDefault="00F3016D" w:rsidP="002C3AF5">
                  <w:pPr>
                    <w:jc w:val="center"/>
                    <w:rPr>
                      <w:bCs/>
                      <w:szCs w:val="28"/>
                    </w:rPr>
                  </w:pPr>
                  <w:r w:rsidRPr="00583A78">
                    <w:rPr>
                      <w:bCs/>
                      <w:szCs w:val="28"/>
                    </w:rPr>
                    <w:t>Mức hỗ trợ đào tạo nghề nghiệp theo cấp trình độ đào tạo</w:t>
                  </w:r>
                </w:p>
              </w:tc>
            </w:tr>
            <w:tr w:rsidR="00F3016D" w:rsidRPr="00583A78" w:rsidTr="00A824F6">
              <w:tblPrEx>
                <w:tblBorders>
                  <w:top w:val="none" w:sz="0" w:space="0" w:color="auto"/>
                  <w:bottom w:val="none" w:sz="0" w:space="0" w:color="auto"/>
                  <w:insideH w:val="none" w:sz="0" w:space="0" w:color="auto"/>
                  <w:insideV w:val="none" w:sz="0" w:space="0" w:color="auto"/>
                </w:tblBorders>
              </w:tblPrEx>
              <w:trPr>
                <w:trHeight w:val="223"/>
              </w:trPr>
              <w:tc>
                <w:tcPr>
                  <w:tcW w:w="1151"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3016D" w:rsidRPr="00583A78" w:rsidRDefault="00F3016D" w:rsidP="002C3AF5">
                  <w:pPr>
                    <w:jc w:val="center"/>
                    <w:rPr>
                      <w:bCs/>
                      <w:szCs w:val="28"/>
                    </w:rPr>
                  </w:pPr>
                </w:p>
              </w:tc>
              <w:tc>
                <w:tcPr>
                  <w:tcW w:w="1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016D" w:rsidRPr="00583A78" w:rsidRDefault="00F3016D" w:rsidP="002C3AF5">
                  <w:pPr>
                    <w:jc w:val="center"/>
                    <w:rPr>
                      <w:bCs/>
                      <w:szCs w:val="28"/>
                    </w:rPr>
                  </w:pPr>
                  <w:r w:rsidRPr="00583A78">
                    <w:rPr>
                      <w:bCs/>
                      <w:szCs w:val="28"/>
                    </w:rPr>
                    <w:t>Trung cấp</w:t>
                  </w:r>
                </w:p>
              </w:tc>
              <w:tc>
                <w:tcPr>
                  <w:tcW w:w="2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016D" w:rsidRPr="00583A78" w:rsidRDefault="00F3016D" w:rsidP="002C3AF5">
                  <w:pPr>
                    <w:jc w:val="center"/>
                    <w:rPr>
                      <w:bCs/>
                      <w:szCs w:val="28"/>
                    </w:rPr>
                  </w:pPr>
                  <w:r w:rsidRPr="00583A78">
                    <w:rPr>
                      <w:bCs/>
                      <w:szCs w:val="28"/>
                    </w:rPr>
                    <w:t>Cao đẳng</w:t>
                  </w:r>
                </w:p>
              </w:tc>
            </w:tr>
            <w:tr w:rsidR="00F3016D" w:rsidRPr="00583A78" w:rsidTr="00A824F6">
              <w:tblPrEx>
                <w:tblBorders>
                  <w:top w:val="none" w:sz="0" w:space="0" w:color="auto"/>
                  <w:bottom w:val="none" w:sz="0" w:space="0" w:color="auto"/>
                  <w:insideH w:val="none" w:sz="0" w:space="0" w:color="auto"/>
                  <w:insideV w:val="none" w:sz="0" w:space="0" w:color="auto"/>
                </w:tblBorders>
              </w:tblPrEx>
              <w:tc>
                <w:tcPr>
                  <w:tcW w:w="11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016D" w:rsidRPr="00583A78" w:rsidRDefault="00F3016D" w:rsidP="002C3AF5">
                  <w:pPr>
                    <w:jc w:val="center"/>
                    <w:rPr>
                      <w:bCs/>
                      <w:szCs w:val="28"/>
                    </w:rPr>
                  </w:pPr>
                  <w:r w:rsidRPr="00583A78">
                    <w:rPr>
                      <w:bCs/>
                      <w:szCs w:val="28"/>
                    </w:rPr>
                    <w:t>2020 - 2021</w:t>
                  </w:r>
                </w:p>
              </w:tc>
              <w:tc>
                <w:tcPr>
                  <w:tcW w:w="1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016D" w:rsidRPr="00583A78" w:rsidRDefault="00F3016D" w:rsidP="002C3AF5">
                  <w:pPr>
                    <w:jc w:val="center"/>
                    <w:rPr>
                      <w:bCs/>
                      <w:szCs w:val="28"/>
                    </w:rPr>
                  </w:pPr>
                  <w:r w:rsidRPr="00583A78">
                    <w:rPr>
                      <w:bCs/>
                      <w:szCs w:val="28"/>
                    </w:rPr>
                    <w:t>5.600.000</w:t>
                  </w:r>
                </w:p>
              </w:tc>
              <w:tc>
                <w:tcPr>
                  <w:tcW w:w="2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016D" w:rsidRPr="00583A78" w:rsidRDefault="00F3016D" w:rsidP="002C3AF5">
                  <w:pPr>
                    <w:jc w:val="center"/>
                    <w:rPr>
                      <w:bCs/>
                      <w:szCs w:val="28"/>
                    </w:rPr>
                  </w:pPr>
                  <w:r w:rsidRPr="00583A78">
                    <w:rPr>
                      <w:bCs/>
                      <w:szCs w:val="28"/>
                    </w:rPr>
                    <w:t>7.300.000</w:t>
                  </w:r>
                </w:p>
              </w:tc>
            </w:tr>
            <w:tr w:rsidR="00F3016D" w:rsidRPr="00583A78" w:rsidTr="00A824F6">
              <w:tblPrEx>
                <w:tblBorders>
                  <w:top w:val="none" w:sz="0" w:space="0" w:color="auto"/>
                  <w:bottom w:val="none" w:sz="0" w:space="0" w:color="auto"/>
                  <w:insideH w:val="none" w:sz="0" w:space="0" w:color="auto"/>
                  <w:insideV w:val="none" w:sz="0" w:space="0" w:color="auto"/>
                </w:tblBorders>
              </w:tblPrEx>
              <w:tc>
                <w:tcPr>
                  <w:tcW w:w="11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016D" w:rsidRPr="00583A78" w:rsidRDefault="00F3016D" w:rsidP="002C3AF5">
                  <w:pPr>
                    <w:jc w:val="center"/>
                    <w:rPr>
                      <w:bCs/>
                      <w:szCs w:val="28"/>
                    </w:rPr>
                  </w:pPr>
                  <w:r w:rsidRPr="00583A78">
                    <w:rPr>
                      <w:bCs/>
                      <w:szCs w:val="28"/>
                    </w:rPr>
                    <w:t>2021 - 2022</w:t>
                  </w:r>
                </w:p>
              </w:tc>
              <w:tc>
                <w:tcPr>
                  <w:tcW w:w="1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016D" w:rsidRPr="00583A78" w:rsidRDefault="00F3016D" w:rsidP="002C3AF5">
                  <w:pPr>
                    <w:jc w:val="center"/>
                    <w:rPr>
                      <w:bCs/>
                      <w:szCs w:val="28"/>
                    </w:rPr>
                  </w:pPr>
                  <w:r w:rsidRPr="00583A78">
                    <w:rPr>
                      <w:bCs/>
                      <w:szCs w:val="28"/>
                    </w:rPr>
                    <w:t>5.400.000</w:t>
                  </w:r>
                </w:p>
              </w:tc>
              <w:tc>
                <w:tcPr>
                  <w:tcW w:w="2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016D" w:rsidRPr="00583A78" w:rsidRDefault="00F3016D" w:rsidP="002C3AF5">
                  <w:pPr>
                    <w:jc w:val="center"/>
                    <w:rPr>
                      <w:bCs/>
                      <w:szCs w:val="28"/>
                    </w:rPr>
                  </w:pPr>
                  <w:r w:rsidRPr="00583A78">
                    <w:rPr>
                      <w:bCs/>
                      <w:szCs w:val="28"/>
                    </w:rPr>
                    <w:t>6.900.000</w:t>
                  </w:r>
                </w:p>
              </w:tc>
            </w:tr>
            <w:tr w:rsidR="00F3016D" w:rsidRPr="00583A78" w:rsidTr="00A824F6">
              <w:tblPrEx>
                <w:tblBorders>
                  <w:top w:val="none" w:sz="0" w:space="0" w:color="auto"/>
                  <w:bottom w:val="none" w:sz="0" w:space="0" w:color="auto"/>
                  <w:insideH w:val="none" w:sz="0" w:space="0" w:color="auto"/>
                  <w:insideV w:val="none" w:sz="0" w:space="0" w:color="auto"/>
                </w:tblBorders>
              </w:tblPrEx>
              <w:tc>
                <w:tcPr>
                  <w:tcW w:w="11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016D" w:rsidRPr="00583A78" w:rsidRDefault="00F3016D" w:rsidP="002C3AF5">
                  <w:pPr>
                    <w:jc w:val="center"/>
                    <w:rPr>
                      <w:bCs/>
                      <w:szCs w:val="28"/>
                    </w:rPr>
                  </w:pPr>
                  <w:r w:rsidRPr="00583A78">
                    <w:rPr>
                      <w:bCs/>
                      <w:szCs w:val="28"/>
                    </w:rPr>
                    <w:t>2022 - 2023</w:t>
                  </w:r>
                </w:p>
              </w:tc>
              <w:tc>
                <w:tcPr>
                  <w:tcW w:w="1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016D" w:rsidRPr="00583A78" w:rsidRDefault="00F3016D" w:rsidP="002C3AF5">
                  <w:pPr>
                    <w:jc w:val="center"/>
                    <w:rPr>
                      <w:bCs/>
                      <w:szCs w:val="28"/>
                    </w:rPr>
                  </w:pPr>
                  <w:r w:rsidRPr="00583A78">
                    <w:rPr>
                      <w:bCs/>
                      <w:szCs w:val="28"/>
                    </w:rPr>
                    <w:t>5.200.000</w:t>
                  </w:r>
                </w:p>
              </w:tc>
              <w:tc>
                <w:tcPr>
                  <w:tcW w:w="2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016D" w:rsidRPr="00583A78" w:rsidRDefault="00F3016D" w:rsidP="002C3AF5">
                  <w:pPr>
                    <w:jc w:val="center"/>
                    <w:rPr>
                      <w:bCs/>
                      <w:szCs w:val="28"/>
                    </w:rPr>
                  </w:pPr>
                  <w:r w:rsidRPr="00583A78">
                    <w:rPr>
                      <w:bCs/>
                      <w:szCs w:val="28"/>
                    </w:rPr>
                    <w:t>6.700.000</w:t>
                  </w:r>
                </w:p>
              </w:tc>
            </w:tr>
            <w:tr w:rsidR="00F3016D" w:rsidRPr="00583A78" w:rsidTr="00A824F6">
              <w:tblPrEx>
                <w:tblBorders>
                  <w:top w:val="none" w:sz="0" w:space="0" w:color="auto"/>
                  <w:bottom w:val="none" w:sz="0" w:space="0" w:color="auto"/>
                  <w:insideH w:val="none" w:sz="0" w:space="0" w:color="auto"/>
                  <w:insideV w:val="none" w:sz="0" w:space="0" w:color="auto"/>
                </w:tblBorders>
              </w:tblPrEx>
              <w:tc>
                <w:tcPr>
                  <w:tcW w:w="11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016D" w:rsidRPr="00583A78" w:rsidRDefault="00F3016D" w:rsidP="002C3AF5">
                  <w:pPr>
                    <w:jc w:val="center"/>
                    <w:rPr>
                      <w:bCs/>
                      <w:szCs w:val="28"/>
                    </w:rPr>
                  </w:pPr>
                  <w:r w:rsidRPr="00583A78">
                    <w:rPr>
                      <w:bCs/>
                      <w:szCs w:val="28"/>
                    </w:rPr>
                    <w:t>2023 - 2024</w:t>
                  </w:r>
                </w:p>
              </w:tc>
              <w:tc>
                <w:tcPr>
                  <w:tcW w:w="1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016D" w:rsidRPr="00583A78" w:rsidRDefault="00F3016D" w:rsidP="002C3AF5">
                  <w:pPr>
                    <w:jc w:val="center"/>
                    <w:rPr>
                      <w:bCs/>
                      <w:szCs w:val="28"/>
                    </w:rPr>
                  </w:pPr>
                  <w:r w:rsidRPr="00583A78">
                    <w:rPr>
                      <w:bCs/>
                      <w:szCs w:val="28"/>
                    </w:rPr>
                    <w:t>4.900.000</w:t>
                  </w:r>
                </w:p>
              </w:tc>
              <w:tc>
                <w:tcPr>
                  <w:tcW w:w="2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016D" w:rsidRPr="00583A78" w:rsidRDefault="00F3016D" w:rsidP="002C3AF5">
                  <w:pPr>
                    <w:jc w:val="center"/>
                    <w:rPr>
                      <w:bCs/>
                      <w:szCs w:val="28"/>
                    </w:rPr>
                  </w:pPr>
                  <w:r w:rsidRPr="00583A78">
                    <w:rPr>
                      <w:bCs/>
                      <w:szCs w:val="28"/>
                    </w:rPr>
                    <w:t>6.400.000</w:t>
                  </w:r>
                </w:p>
              </w:tc>
            </w:tr>
            <w:tr w:rsidR="00F3016D" w:rsidRPr="00583A78" w:rsidTr="00A824F6">
              <w:tblPrEx>
                <w:tblBorders>
                  <w:top w:val="none" w:sz="0" w:space="0" w:color="auto"/>
                  <w:bottom w:val="none" w:sz="0" w:space="0" w:color="auto"/>
                  <w:insideH w:val="none" w:sz="0" w:space="0" w:color="auto"/>
                  <w:insideV w:val="none" w:sz="0" w:space="0" w:color="auto"/>
                </w:tblBorders>
              </w:tblPrEx>
              <w:tc>
                <w:tcPr>
                  <w:tcW w:w="11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016D" w:rsidRPr="00583A78" w:rsidRDefault="00F3016D" w:rsidP="002C3AF5">
                  <w:pPr>
                    <w:jc w:val="center"/>
                    <w:rPr>
                      <w:bCs/>
                      <w:szCs w:val="28"/>
                    </w:rPr>
                  </w:pPr>
                  <w:r w:rsidRPr="00583A78">
                    <w:rPr>
                      <w:bCs/>
                      <w:szCs w:val="28"/>
                    </w:rPr>
                    <w:t>2024 - 2025</w:t>
                  </w:r>
                </w:p>
              </w:tc>
              <w:tc>
                <w:tcPr>
                  <w:tcW w:w="1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016D" w:rsidRPr="00583A78" w:rsidRDefault="00F3016D" w:rsidP="002C3AF5">
                  <w:pPr>
                    <w:jc w:val="center"/>
                    <w:rPr>
                      <w:bCs/>
                      <w:szCs w:val="28"/>
                    </w:rPr>
                  </w:pPr>
                  <w:r w:rsidRPr="00583A78">
                    <w:rPr>
                      <w:bCs/>
                      <w:szCs w:val="28"/>
                    </w:rPr>
                    <w:t>0</w:t>
                  </w:r>
                </w:p>
              </w:tc>
              <w:tc>
                <w:tcPr>
                  <w:tcW w:w="2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016D" w:rsidRPr="00583A78" w:rsidRDefault="00F3016D" w:rsidP="002C3AF5">
                  <w:pPr>
                    <w:jc w:val="center"/>
                    <w:rPr>
                      <w:bCs/>
                      <w:szCs w:val="28"/>
                    </w:rPr>
                  </w:pPr>
                  <w:r w:rsidRPr="00583A78">
                    <w:rPr>
                      <w:bCs/>
                      <w:szCs w:val="28"/>
                    </w:rPr>
                    <w:t>5.800.000</w:t>
                  </w:r>
                </w:p>
              </w:tc>
            </w:tr>
          </w:tbl>
          <w:p w:rsidR="00F3016D" w:rsidRPr="00583A78" w:rsidRDefault="00F3016D" w:rsidP="002C3AF5">
            <w:pPr>
              <w:jc w:val="both"/>
              <w:rPr>
                <w:bCs/>
                <w:i/>
                <w:szCs w:val="28"/>
              </w:rPr>
            </w:pPr>
            <w:r w:rsidRPr="00583A78">
              <w:rPr>
                <w:bCs/>
                <w:i/>
                <w:szCs w:val="28"/>
              </w:rPr>
              <w:t>Nội dung góp ý:</w:t>
            </w:r>
          </w:p>
          <w:p w:rsidR="00F3016D" w:rsidRPr="00583A78" w:rsidRDefault="00F3016D" w:rsidP="002C3AF5">
            <w:pPr>
              <w:tabs>
                <w:tab w:val="left" w:pos="90"/>
                <w:tab w:val="left" w:pos="900"/>
              </w:tabs>
              <w:rPr>
                <w:bCs/>
                <w:szCs w:val="28"/>
              </w:rPr>
            </w:pPr>
            <w:r w:rsidRPr="00583A78">
              <w:rPr>
                <w:bCs/>
                <w:szCs w:val="28"/>
              </w:rPr>
              <w:t xml:space="preserve">Ngân sách nhà nước hỗ trợ được tính trên số học sinh, sinh viên ở cấp trình độ đào tạo cao đẳng, trung cấp theo từng năm học như sau: </w:t>
            </w:r>
          </w:p>
          <w:p w:rsidR="00F3016D" w:rsidRPr="00583A78" w:rsidRDefault="00F3016D" w:rsidP="002C3AF5">
            <w:pPr>
              <w:tabs>
                <w:tab w:val="left" w:pos="90"/>
                <w:tab w:val="left" w:pos="900"/>
              </w:tabs>
              <w:rPr>
                <w:bCs/>
                <w:szCs w:val="28"/>
              </w:rPr>
            </w:pPr>
            <w:r w:rsidRPr="00583A78">
              <w:rPr>
                <w:bCs/>
                <w:szCs w:val="28"/>
              </w:rPr>
              <w:t xml:space="preserve">                                           Đơn vị tính: đồng/năm học/học sinh, sinh viên</w:t>
            </w:r>
          </w:p>
          <w:tbl>
            <w:tblPr>
              <w:tblW w:w="5000"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2374"/>
              <w:gridCol w:w="2783"/>
              <w:gridCol w:w="3132"/>
            </w:tblGrid>
            <w:tr w:rsidR="00F3016D" w:rsidRPr="00583A78" w:rsidTr="00A824F6">
              <w:tc>
                <w:tcPr>
                  <w:tcW w:w="143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016D" w:rsidRPr="00583A78" w:rsidRDefault="00F3016D" w:rsidP="002C3AF5">
                  <w:pPr>
                    <w:tabs>
                      <w:tab w:val="left" w:pos="90"/>
                      <w:tab w:val="left" w:pos="900"/>
                    </w:tabs>
                    <w:ind w:firstLine="547"/>
                    <w:jc w:val="center"/>
                    <w:rPr>
                      <w:bCs/>
                      <w:szCs w:val="28"/>
                    </w:rPr>
                  </w:pPr>
                  <w:r w:rsidRPr="00583A78">
                    <w:rPr>
                      <w:bCs/>
                      <w:szCs w:val="28"/>
                    </w:rPr>
                    <w:t>Năm học</w:t>
                  </w:r>
                </w:p>
              </w:tc>
              <w:tc>
                <w:tcPr>
                  <w:tcW w:w="3568"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016D" w:rsidRPr="00583A78" w:rsidRDefault="00F3016D" w:rsidP="002C3AF5">
                  <w:pPr>
                    <w:tabs>
                      <w:tab w:val="left" w:pos="90"/>
                      <w:tab w:val="left" w:pos="900"/>
                    </w:tabs>
                    <w:ind w:firstLine="547"/>
                    <w:jc w:val="center"/>
                    <w:rPr>
                      <w:bCs/>
                      <w:szCs w:val="28"/>
                    </w:rPr>
                  </w:pPr>
                  <w:r w:rsidRPr="00583A78">
                    <w:rPr>
                      <w:bCs/>
                      <w:szCs w:val="28"/>
                    </w:rPr>
                    <w:t>Mức hỗ trợ đào tạo nghề nghiệp theo cấp trình độ đào tạo</w:t>
                  </w:r>
                </w:p>
              </w:tc>
            </w:tr>
            <w:tr w:rsidR="00F3016D" w:rsidRPr="00583A78" w:rsidTr="00A824F6">
              <w:tblPrEx>
                <w:tblBorders>
                  <w:top w:val="none" w:sz="0" w:space="0" w:color="auto"/>
                  <w:bottom w:val="none" w:sz="0" w:space="0" w:color="auto"/>
                  <w:insideH w:val="none" w:sz="0" w:space="0" w:color="auto"/>
                  <w:insideV w:val="none" w:sz="0" w:space="0" w:color="auto"/>
                </w:tblBorders>
              </w:tblPrEx>
              <w:tc>
                <w:tcPr>
                  <w:tcW w:w="2604" w:type="dxa"/>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3016D" w:rsidRPr="00583A78" w:rsidRDefault="00F3016D" w:rsidP="002C3AF5">
                  <w:pPr>
                    <w:tabs>
                      <w:tab w:val="left" w:pos="90"/>
                      <w:tab w:val="left" w:pos="900"/>
                    </w:tabs>
                    <w:ind w:firstLine="547"/>
                    <w:jc w:val="center"/>
                    <w:rPr>
                      <w:bCs/>
                      <w:szCs w:val="28"/>
                    </w:rPr>
                  </w:pPr>
                </w:p>
              </w:tc>
              <w:tc>
                <w:tcPr>
                  <w:tcW w:w="1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016D" w:rsidRPr="00583A78" w:rsidRDefault="00F3016D" w:rsidP="002C3AF5">
                  <w:pPr>
                    <w:tabs>
                      <w:tab w:val="left" w:pos="90"/>
                      <w:tab w:val="left" w:pos="900"/>
                    </w:tabs>
                    <w:ind w:firstLine="547"/>
                    <w:jc w:val="center"/>
                    <w:rPr>
                      <w:bCs/>
                      <w:szCs w:val="28"/>
                    </w:rPr>
                  </w:pPr>
                  <w:r w:rsidRPr="00583A78">
                    <w:rPr>
                      <w:bCs/>
                      <w:szCs w:val="28"/>
                    </w:rPr>
                    <w:t>Trung cấp</w:t>
                  </w:r>
                </w:p>
              </w:tc>
              <w:tc>
                <w:tcPr>
                  <w:tcW w:w="18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016D" w:rsidRPr="00583A78" w:rsidRDefault="00F3016D" w:rsidP="002C3AF5">
                  <w:pPr>
                    <w:tabs>
                      <w:tab w:val="left" w:pos="90"/>
                      <w:tab w:val="left" w:pos="900"/>
                    </w:tabs>
                    <w:ind w:firstLine="547"/>
                    <w:jc w:val="center"/>
                    <w:rPr>
                      <w:bCs/>
                      <w:szCs w:val="28"/>
                    </w:rPr>
                  </w:pPr>
                  <w:r w:rsidRPr="00583A78">
                    <w:rPr>
                      <w:bCs/>
                      <w:szCs w:val="28"/>
                    </w:rPr>
                    <w:t>Cao đẳng</w:t>
                  </w:r>
                </w:p>
              </w:tc>
            </w:tr>
            <w:tr w:rsidR="00F3016D" w:rsidRPr="00583A78" w:rsidTr="00A824F6">
              <w:tblPrEx>
                <w:tblBorders>
                  <w:top w:val="none" w:sz="0" w:space="0" w:color="auto"/>
                  <w:bottom w:val="none" w:sz="0" w:space="0" w:color="auto"/>
                  <w:insideH w:val="none" w:sz="0" w:space="0" w:color="auto"/>
                  <w:insideV w:val="none" w:sz="0" w:space="0" w:color="auto"/>
                </w:tblBorders>
              </w:tblPrEx>
              <w:tc>
                <w:tcPr>
                  <w:tcW w:w="14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016D" w:rsidRPr="00583A78" w:rsidRDefault="00F3016D" w:rsidP="002C3AF5">
                  <w:pPr>
                    <w:tabs>
                      <w:tab w:val="left" w:pos="90"/>
                      <w:tab w:val="left" w:pos="900"/>
                    </w:tabs>
                    <w:ind w:firstLine="547"/>
                    <w:jc w:val="center"/>
                    <w:rPr>
                      <w:bCs/>
                      <w:szCs w:val="28"/>
                    </w:rPr>
                  </w:pPr>
                  <w:r w:rsidRPr="00583A78">
                    <w:rPr>
                      <w:bCs/>
                      <w:szCs w:val="28"/>
                    </w:rPr>
                    <w:t>2020 - 2021</w:t>
                  </w:r>
                </w:p>
              </w:tc>
              <w:tc>
                <w:tcPr>
                  <w:tcW w:w="1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016D" w:rsidRPr="00583A78" w:rsidRDefault="00F3016D" w:rsidP="002C3AF5">
                  <w:pPr>
                    <w:tabs>
                      <w:tab w:val="left" w:pos="90"/>
                      <w:tab w:val="left" w:pos="900"/>
                    </w:tabs>
                    <w:ind w:firstLine="547"/>
                    <w:rPr>
                      <w:szCs w:val="28"/>
                    </w:rPr>
                  </w:pPr>
                  <w:r w:rsidRPr="00583A78">
                    <w:rPr>
                      <w:bCs/>
                      <w:szCs w:val="28"/>
                    </w:rPr>
                    <w:t>100% HP theo NĐ 86</w:t>
                  </w:r>
                </w:p>
              </w:tc>
              <w:tc>
                <w:tcPr>
                  <w:tcW w:w="18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016D" w:rsidRPr="00583A78" w:rsidRDefault="00F3016D" w:rsidP="002C3AF5">
                  <w:pPr>
                    <w:tabs>
                      <w:tab w:val="left" w:pos="90"/>
                      <w:tab w:val="left" w:pos="900"/>
                    </w:tabs>
                    <w:ind w:firstLine="547"/>
                    <w:rPr>
                      <w:szCs w:val="28"/>
                    </w:rPr>
                  </w:pPr>
                  <w:r w:rsidRPr="00583A78">
                    <w:rPr>
                      <w:bCs/>
                      <w:szCs w:val="28"/>
                    </w:rPr>
                    <w:t>100% HP theo NĐ 86</w:t>
                  </w:r>
                </w:p>
              </w:tc>
            </w:tr>
            <w:tr w:rsidR="00F3016D" w:rsidRPr="00583A78" w:rsidTr="00A824F6">
              <w:tblPrEx>
                <w:tblBorders>
                  <w:top w:val="none" w:sz="0" w:space="0" w:color="auto"/>
                  <w:bottom w:val="none" w:sz="0" w:space="0" w:color="auto"/>
                  <w:insideH w:val="none" w:sz="0" w:space="0" w:color="auto"/>
                  <w:insideV w:val="none" w:sz="0" w:space="0" w:color="auto"/>
                </w:tblBorders>
              </w:tblPrEx>
              <w:tc>
                <w:tcPr>
                  <w:tcW w:w="14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016D" w:rsidRPr="00583A78" w:rsidRDefault="00F3016D" w:rsidP="002C3AF5">
                  <w:pPr>
                    <w:tabs>
                      <w:tab w:val="left" w:pos="90"/>
                      <w:tab w:val="left" w:pos="900"/>
                    </w:tabs>
                    <w:ind w:firstLine="547"/>
                    <w:jc w:val="center"/>
                    <w:rPr>
                      <w:bCs/>
                      <w:szCs w:val="28"/>
                    </w:rPr>
                  </w:pPr>
                  <w:r w:rsidRPr="00583A78">
                    <w:rPr>
                      <w:bCs/>
                      <w:szCs w:val="28"/>
                    </w:rPr>
                    <w:t>2021 - 2022</w:t>
                  </w:r>
                </w:p>
              </w:tc>
              <w:tc>
                <w:tcPr>
                  <w:tcW w:w="1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016D" w:rsidRPr="00583A78" w:rsidRDefault="00F3016D" w:rsidP="002C3AF5">
                  <w:pPr>
                    <w:tabs>
                      <w:tab w:val="left" w:pos="90"/>
                      <w:tab w:val="left" w:pos="900"/>
                    </w:tabs>
                    <w:ind w:firstLine="547"/>
                    <w:rPr>
                      <w:szCs w:val="28"/>
                    </w:rPr>
                  </w:pPr>
                  <w:r w:rsidRPr="00583A78">
                    <w:rPr>
                      <w:bCs/>
                      <w:szCs w:val="28"/>
                    </w:rPr>
                    <w:t xml:space="preserve">100% HP theo NĐ </w:t>
                  </w:r>
                  <w:r w:rsidRPr="00583A78">
                    <w:rPr>
                      <w:bCs/>
                      <w:szCs w:val="28"/>
                    </w:rPr>
                    <w:lastRenderedPageBreak/>
                    <w:t>86</w:t>
                  </w:r>
                </w:p>
              </w:tc>
              <w:tc>
                <w:tcPr>
                  <w:tcW w:w="18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016D" w:rsidRPr="00583A78" w:rsidRDefault="00F3016D" w:rsidP="002C3AF5">
                  <w:pPr>
                    <w:tabs>
                      <w:tab w:val="left" w:pos="90"/>
                      <w:tab w:val="left" w:pos="900"/>
                    </w:tabs>
                    <w:ind w:firstLine="547"/>
                    <w:rPr>
                      <w:szCs w:val="28"/>
                    </w:rPr>
                  </w:pPr>
                  <w:r w:rsidRPr="00583A78">
                    <w:rPr>
                      <w:bCs/>
                      <w:szCs w:val="28"/>
                    </w:rPr>
                    <w:lastRenderedPageBreak/>
                    <w:t>100% HP theo NĐ 86</w:t>
                  </w:r>
                </w:p>
              </w:tc>
            </w:tr>
            <w:tr w:rsidR="00F3016D" w:rsidRPr="00583A78" w:rsidTr="00A824F6">
              <w:tblPrEx>
                <w:tblBorders>
                  <w:top w:val="none" w:sz="0" w:space="0" w:color="auto"/>
                  <w:bottom w:val="none" w:sz="0" w:space="0" w:color="auto"/>
                  <w:insideH w:val="none" w:sz="0" w:space="0" w:color="auto"/>
                  <w:insideV w:val="none" w:sz="0" w:space="0" w:color="auto"/>
                </w:tblBorders>
              </w:tblPrEx>
              <w:tc>
                <w:tcPr>
                  <w:tcW w:w="14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016D" w:rsidRPr="00583A78" w:rsidRDefault="00F3016D" w:rsidP="002C3AF5">
                  <w:pPr>
                    <w:tabs>
                      <w:tab w:val="left" w:pos="90"/>
                      <w:tab w:val="left" w:pos="900"/>
                    </w:tabs>
                    <w:ind w:firstLine="547"/>
                    <w:jc w:val="center"/>
                    <w:rPr>
                      <w:bCs/>
                      <w:szCs w:val="28"/>
                    </w:rPr>
                  </w:pPr>
                  <w:r w:rsidRPr="00583A78">
                    <w:rPr>
                      <w:bCs/>
                      <w:szCs w:val="28"/>
                    </w:rPr>
                    <w:lastRenderedPageBreak/>
                    <w:t>2022 - 2023</w:t>
                  </w:r>
                </w:p>
              </w:tc>
              <w:tc>
                <w:tcPr>
                  <w:tcW w:w="1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016D" w:rsidRPr="00583A78" w:rsidRDefault="00F3016D" w:rsidP="002C3AF5">
                  <w:pPr>
                    <w:tabs>
                      <w:tab w:val="left" w:pos="90"/>
                      <w:tab w:val="left" w:pos="900"/>
                    </w:tabs>
                    <w:ind w:firstLine="547"/>
                    <w:rPr>
                      <w:szCs w:val="28"/>
                    </w:rPr>
                  </w:pPr>
                  <w:r w:rsidRPr="00583A78">
                    <w:rPr>
                      <w:bCs/>
                      <w:szCs w:val="28"/>
                    </w:rPr>
                    <w:t>100% HP theo NĐ 86</w:t>
                  </w:r>
                </w:p>
              </w:tc>
              <w:tc>
                <w:tcPr>
                  <w:tcW w:w="18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016D" w:rsidRPr="00583A78" w:rsidRDefault="00F3016D" w:rsidP="002C3AF5">
                  <w:pPr>
                    <w:tabs>
                      <w:tab w:val="left" w:pos="90"/>
                      <w:tab w:val="left" w:pos="900"/>
                    </w:tabs>
                    <w:ind w:firstLine="547"/>
                    <w:rPr>
                      <w:szCs w:val="28"/>
                    </w:rPr>
                  </w:pPr>
                  <w:r w:rsidRPr="00583A78">
                    <w:rPr>
                      <w:bCs/>
                      <w:szCs w:val="28"/>
                    </w:rPr>
                    <w:t>100% HP theo NĐ 86</w:t>
                  </w:r>
                </w:p>
              </w:tc>
            </w:tr>
            <w:tr w:rsidR="00F3016D" w:rsidRPr="00583A78" w:rsidTr="00A824F6">
              <w:tblPrEx>
                <w:tblBorders>
                  <w:top w:val="none" w:sz="0" w:space="0" w:color="auto"/>
                  <w:bottom w:val="none" w:sz="0" w:space="0" w:color="auto"/>
                  <w:insideH w:val="none" w:sz="0" w:space="0" w:color="auto"/>
                  <w:insideV w:val="none" w:sz="0" w:space="0" w:color="auto"/>
                </w:tblBorders>
              </w:tblPrEx>
              <w:tc>
                <w:tcPr>
                  <w:tcW w:w="14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016D" w:rsidRPr="00583A78" w:rsidRDefault="00F3016D" w:rsidP="002C3AF5">
                  <w:pPr>
                    <w:tabs>
                      <w:tab w:val="left" w:pos="90"/>
                      <w:tab w:val="left" w:pos="900"/>
                    </w:tabs>
                    <w:ind w:firstLine="547"/>
                    <w:jc w:val="center"/>
                    <w:rPr>
                      <w:bCs/>
                      <w:szCs w:val="28"/>
                    </w:rPr>
                  </w:pPr>
                  <w:r w:rsidRPr="00583A78">
                    <w:rPr>
                      <w:bCs/>
                      <w:szCs w:val="28"/>
                    </w:rPr>
                    <w:t>2023 - 2024</w:t>
                  </w:r>
                </w:p>
              </w:tc>
              <w:tc>
                <w:tcPr>
                  <w:tcW w:w="1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016D" w:rsidRPr="00583A78" w:rsidRDefault="00F3016D" w:rsidP="002C3AF5">
                  <w:pPr>
                    <w:tabs>
                      <w:tab w:val="left" w:pos="90"/>
                      <w:tab w:val="left" w:pos="900"/>
                    </w:tabs>
                    <w:ind w:firstLine="547"/>
                    <w:rPr>
                      <w:szCs w:val="28"/>
                    </w:rPr>
                  </w:pPr>
                  <w:r w:rsidRPr="00583A78">
                    <w:rPr>
                      <w:bCs/>
                      <w:szCs w:val="28"/>
                    </w:rPr>
                    <w:t>100% HP theo NĐ 86</w:t>
                  </w:r>
                </w:p>
              </w:tc>
              <w:tc>
                <w:tcPr>
                  <w:tcW w:w="18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016D" w:rsidRPr="00583A78" w:rsidRDefault="00F3016D" w:rsidP="002C3AF5">
                  <w:pPr>
                    <w:tabs>
                      <w:tab w:val="left" w:pos="90"/>
                      <w:tab w:val="left" w:pos="900"/>
                    </w:tabs>
                    <w:ind w:firstLine="547"/>
                    <w:rPr>
                      <w:szCs w:val="28"/>
                    </w:rPr>
                  </w:pPr>
                  <w:r w:rsidRPr="00583A78">
                    <w:rPr>
                      <w:bCs/>
                      <w:szCs w:val="28"/>
                    </w:rPr>
                    <w:t>100% HP theo NĐ 86</w:t>
                  </w:r>
                </w:p>
              </w:tc>
            </w:tr>
            <w:tr w:rsidR="00F3016D" w:rsidRPr="00583A78" w:rsidTr="00A824F6">
              <w:tblPrEx>
                <w:tblBorders>
                  <w:top w:val="none" w:sz="0" w:space="0" w:color="auto"/>
                  <w:bottom w:val="none" w:sz="0" w:space="0" w:color="auto"/>
                  <w:insideH w:val="none" w:sz="0" w:space="0" w:color="auto"/>
                  <w:insideV w:val="none" w:sz="0" w:space="0" w:color="auto"/>
                </w:tblBorders>
              </w:tblPrEx>
              <w:tc>
                <w:tcPr>
                  <w:tcW w:w="14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016D" w:rsidRPr="00583A78" w:rsidRDefault="00F3016D" w:rsidP="002C3AF5">
                  <w:pPr>
                    <w:tabs>
                      <w:tab w:val="left" w:pos="90"/>
                      <w:tab w:val="left" w:pos="900"/>
                    </w:tabs>
                    <w:ind w:firstLine="547"/>
                    <w:jc w:val="center"/>
                    <w:rPr>
                      <w:bCs/>
                      <w:szCs w:val="28"/>
                    </w:rPr>
                  </w:pPr>
                  <w:r w:rsidRPr="00583A78">
                    <w:rPr>
                      <w:bCs/>
                      <w:szCs w:val="28"/>
                    </w:rPr>
                    <w:t>2024 - 2025</w:t>
                  </w:r>
                </w:p>
              </w:tc>
              <w:tc>
                <w:tcPr>
                  <w:tcW w:w="1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016D" w:rsidRPr="00583A78" w:rsidRDefault="00F3016D" w:rsidP="002C3AF5">
                  <w:pPr>
                    <w:tabs>
                      <w:tab w:val="left" w:pos="90"/>
                      <w:tab w:val="left" w:pos="900"/>
                    </w:tabs>
                    <w:ind w:firstLine="547"/>
                    <w:rPr>
                      <w:szCs w:val="28"/>
                    </w:rPr>
                  </w:pPr>
                  <w:r w:rsidRPr="00583A78">
                    <w:rPr>
                      <w:bCs/>
                      <w:szCs w:val="28"/>
                    </w:rPr>
                    <w:t>100% HP theo NĐ 86</w:t>
                  </w:r>
                </w:p>
              </w:tc>
              <w:tc>
                <w:tcPr>
                  <w:tcW w:w="18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016D" w:rsidRPr="00583A78" w:rsidRDefault="00F3016D" w:rsidP="002C3AF5">
                  <w:pPr>
                    <w:tabs>
                      <w:tab w:val="left" w:pos="90"/>
                      <w:tab w:val="left" w:pos="900"/>
                    </w:tabs>
                    <w:ind w:firstLine="547"/>
                    <w:rPr>
                      <w:szCs w:val="28"/>
                    </w:rPr>
                  </w:pPr>
                  <w:r w:rsidRPr="00583A78">
                    <w:rPr>
                      <w:bCs/>
                      <w:szCs w:val="28"/>
                    </w:rPr>
                    <w:t>100% HP theo NĐ 86</w:t>
                  </w:r>
                </w:p>
              </w:tc>
            </w:tr>
          </w:tbl>
          <w:p w:rsidR="00F3016D" w:rsidRPr="00583A78" w:rsidRDefault="00F3016D" w:rsidP="002C3AF5">
            <w:pPr>
              <w:tabs>
                <w:tab w:val="left" w:pos="90"/>
                <w:tab w:val="left" w:pos="900"/>
              </w:tabs>
              <w:jc w:val="both"/>
              <w:rPr>
                <w:szCs w:val="28"/>
              </w:rPr>
            </w:pPr>
            <w:r w:rsidRPr="00583A78">
              <w:rPr>
                <w:szCs w:val="28"/>
              </w:rPr>
              <w:t xml:space="preserve">- Đề xuất thời gian áp dụng Nghị quyết bắt đầu từ năm học 2020-2021 đến kết thúc khóa tuyển sinh của năm học 2024-2025. </w:t>
            </w:r>
          </w:p>
          <w:p w:rsidR="00A95573" w:rsidRPr="00583A78" w:rsidRDefault="00F3016D" w:rsidP="00A95573">
            <w:pPr>
              <w:tabs>
                <w:tab w:val="left" w:pos="90"/>
                <w:tab w:val="left" w:pos="900"/>
              </w:tabs>
              <w:jc w:val="both"/>
              <w:rPr>
                <w:szCs w:val="28"/>
              </w:rPr>
            </w:pPr>
            <w:r w:rsidRPr="00583A78">
              <w:rPr>
                <w:szCs w:val="28"/>
              </w:rPr>
              <w:t>- Số liệu dự kiến chi trả giai đoạn 2020-2025 nhà trường có bảng đề xuất góp ý tăng số liệu dự kiến và mức chi trả cho học sinh, sinh viên đăng ký đào tạo nghề nghiệp trình độ trung cấp, cao đẳng tăng theo hàng năm do quy mô đào tạo hàng năm tăng (có phụ lục gửi kèm).</w:t>
            </w:r>
            <w:r w:rsidR="00A95573" w:rsidRPr="00583A78">
              <w:rPr>
                <w:szCs w:val="28"/>
              </w:rPr>
              <w:t xml:space="preserve"> </w:t>
            </w:r>
          </w:p>
          <w:p w:rsidR="00B00C68" w:rsidRPr="00583A78" w:rsidRDefault="00B00C68" w:rsidP="00B00C68">
            <w:pPr>
              <w:jc w:val="both"/>
              <w:rPr>
                <w:szCs w:val="28"/>
              </w:rPr>
            </w:pPr>
            <w:r w:rsidRPr="00583A78">
              <w:rPr>
                <w:b/>
                <w:i/>
                <w:szCs w:val="28"/>
                <w:u w:val="single"/>
              </w:rPr>
              <w:t>Giải trình:</w:t>
            </w:r>
          </w:p>
          <w:p w:rsidR="00B00C68" w:rsidRPr="00583A78" w:rsidRDefault="00B00C68" w:rsidP="000B3E13">
            <w:pPr>
              <w:tabs>
                <w:tab w:val="left" w:pos="90"/>
                <w:tab w:val="left" w:pos="900"/>
              </w:tabs>
              <w:jc w:val="both"/>
              <w:rPr>
                <w:szCs w:val="28"/>
              </w:rPr>
            </w:pPr>
            <w:r w:rsidRPr="00583A78">
              <w:rPr>
                <w:szCs w:val="28"/>
              </w:rPr>
              <w:t xml:space="preserve">- Cơ quan soạn thảo </w:t>
            </w:r>
            <w:r w:rsidR="00CF0762" w:rsidRPr="00583A78">
              <w:rPr>
                <w:szCs w:val="28"/>
              </w:rPr>
              <w:t xml:space="preserve">không tiếp thu ý kiến vì </w:t>
            </w:r>
            <w:r w:rsidR="00CF0762" w:rsidRPr="00583A78">
              <w:rPr>
                <w:bCs/>
                <w:szCs w:val="28"/>
              </w:rPr>
              <w:t>Nghị định 86/2015/NĐ-CP</w:t>
            </w:r>
            <w:r w:rsidR="00CF0762" w:rsidRPr="00583A78">
              <w:rPr>
                <w:szCs w:val="28"/>
              </w:rPr>
              <w:t xml:space="preserve"> ngày 02/10/2015 sẽ hết hiệu lực thi hành trong năm 2021. Đồng thời, cơ quan soạn thảo đã </w:t>
            </w:r>
            <w:r w:rsidRPr="00583A78">
              <w:rPr>
                <w:szCs w:val="28"/>
              </w:rPr>
              <w:t>tiếp thu và bổ sung trong dự thảo</w:t>
            </w:r>
            <w:r w:rsidR="00CF0762" w:rsidRPr="00583A78">
              <w:rPr>
                <w:szCs w:val="28"/>
              </w:rPr>
              <w:t xml:space="preserve"> ý kiến của Sở Tài chính tích hợp Nghị quyết số 06/2018/NQ-HĐND ngày 02/8/2018 của HĐND, ban hành quy định về chính sách khuyến khích, hỗ trợ đầu tư vào tỉnh Đắk Nông. Tuy nhiên, Nghị quyết này đã được sửa đổi, bổ sung tại Nghị quyết số 42/2019/NQ-HĐND ngày 11/12/2019 của HĐND và hiện nay Sở Kế hoạch và Đầu tư đang tham mưu UBND tỉnh trình HĐND tỉnh tiếp tục rà soát, sửa đổi, bổ sung Nghị quyết số 06/2018/NQ-HĐND ngày 02/8/2018 của HĐND </w:t>
            </w:r>
            <w:r w:rsidR="00F67802" w:rsidRPr="00583A78">
              <w:rPr>
                <w:szCs w:val="28"/>
              </w:rPr>
              <w:t>trong</w:t>
            </w:r>
            <w:r w:rsidR="00CF0762" w:rsidRPr="00583A78">
              <w:rPr>
                <w:szCs w:val="28"/>
              </w:rPr>
              <w:t xml:space="preserve"> dự thảo.</w:t>
            </w:r>
          </w:p>
        </w:tc>
      </w:tr>
      <w:tr w:rsidR="001D7B45" w:rsidRPr="00583A78" w:rsidTr="005E3596">
        <w:tc>
          <w:tcPr>
            <w:tcW w:w="550" w:type="dxa"/>
            <w:tcBorders>
              <w:top w:val="single" w:sz="4" w:space="0" w:color="auto"/>
              <w:left w:val="single" w:sz="4" w:space="0" w:color="auto"/>
              <w:bottom w:val="single" w:sz="4" w:space="0" w:color="auto"/>
              <w:right w:val="single" w:sz="4" w:space="0" w:color="auto"/>
            </w:tcBorders>
            <w:vAlign w:val="center"/>
          </w:tcPr>
          <w:p w:rsidR="001D7B45" w:rsidRPr="00583A78" w:rsidRDefault="00F85BDE" w:rsidP="002C3AF5">
            <w:pPr>
              <w:jc w:val="center"/>
              <w:rPr>
                <w:szCs w:val="28"/>
              </w:rPr>
            </w:pPr>
            <w:r w:rsidRPr="00583A78">
              <w:rPr>
                <w:szCs w:val="28"/>
              </w:rPr>
              <w:lastRenderedPageBreak/>
              <w:t>6</w:t>
            </w:r>
          </w:p>
        </w:tc>
        <w:tc>
          <w:tcPr>
            <w:tcW w:w="1857" w:type="dxa"/>
            <w:tcBorders>
              <w:top w:val="single" w:sz="4" w:space="0" w:color="auto"/>
              <w:left w:val="single" w:sz="4" w:space="0" w:color="auto"/>
              <w:bottom w:val="single" w:sz="4" w:space="0" w:color="auto"/>
              <w:right w:val="single" w:sz="4" w:space="0" w:color="auto"/>
            </w:tcBorders>
            <w:vAlign w:val="center"/>
          </w:tcPr>
          <w:p w:rsidR="001D7B45" w:rsidRPr="00583A78" w:rsidRDefault="001D7B45" w:rsidP="002C3AF5">
            <w:pPr>
              <w:jc w:val="center"/>
              <w:rPr>
                <w:color w:val="000000"/>
                <w:szCs w:val="28"/>
              </w:rPr>
            </w:pPr>
            <w:r w:rsidRPr="00583A78">
              <w:rPr>
                <w:color w:val="000000"/>
                <w:szCs w:val="28"/>
              </w:rPr>
              <w:t xml:space="preserve">UBND huyện Đắk </w:t>
            </w:r>
            <w:r w:rsidR="00F85BDE" w:rsidRPr="00583A78">
              <w:rPr>
                <w:color w:val="000000"/>
                <w:szCs w:val="28"/>
              </w:rPr>
              <w:t>Mil</w:t>
            </w:r>
          </w:p>
        </w:tc>
        <w:tc>
          <w:tcPr>
            <w:tcW w:w="2127" w:type="dxa"/>
            <w:tcBorders>
              <w:top w:val="single" w:sz="4" w:space="0" w:color="auto"/>
              <w:left w:val="single" w:sz="4" w:space="0" w:color="auto"/>
              <w:bottom w:val="single" w:sz="4" w:space="0" w:color="auto"/>
              <w:right w:val="single" w:sz="4" w:space="0" w:color="auto"/>
            </w:tcBorders>
            <w:vAlign w:val="center"/>
          </w:tcPr>
          <w:p w:rsidR="001D7B45" w:rsidRPr="00583A78" w:rsidRDefault="00F85BDE" w:rsidP="002C3AF5">
            <w:pPr>
              <w:jc w:val="center"/>
              <w:rPr>
                <w:color w:val="000000"/>
                <w:szCs w:val="28"/>
              </w:rPr>
            </w:pPr>
            <w:r w:rsidRPr="00583A78">
              <w:rPr>
                <w:color w:val="000000"/>
                <w:szCs w:val="28"/>
              </w:rPr>
              <w:t>1564</w:t>
            </w:r>
            <w:r w:rsidR="001D7B45" w:rsidRPr="00583A78">
              <w:rPr>
                <w:color w:val="000000"/>
                <w:szCs w:val="28"/>
              </w:rPr>
              <w:t>/UBND-LĐTBXH</w:t>
            </w:r>
          </w:p>
        </w:tc>
        <w:tc>
          <w:tcPr>
            <w:tcW w:w="1683" w:type="dxa"/>
            <w:tcBorders>
              <w:top w:val="single" w:sz="4" w:space="0" w:color="auto"/>
              <w:left w:val="single" w:sz="4" w:space="0" w:color="auto"/>
              <w:bottom w:val="single" w:sz="4" w:space="0" w:color="auto"/>
              <w:right w:val="single" w:sz="4" w:space="0" w:color="auto"/>
            </w:tcBorders>
            <w:vAlign w:val="center"/>
          </w:tcPr>
          <w:p w:rsidR="001D7B45" w:rsidRPr="00583A78" w:rsidRDefault="00F85BDE" w:rsidP="002C3AF5">
            <w:pPr>
              <w:jc w:val="center"/>
              <w:rPr>
                <w:color w:val="000000"/>
                <w:szCs w:val="28"/>
              </w:rPr>
            </w:pPr>
            <w:r w:rsidRPr="00583A78">
              <w:rPr>
                <w:color w:val="000000"/>
                <w:szCs w:val="28"/>
              </w:rPr>
              <w:t>28</w:t>
            </w:r>
            <w:r w:rsidR="001D7B45" w:rsidRPr="00583A78">
              <w:rPr>
                <w:color w:val="000000"/>
                <w:szCs w:val="28"/>
              </w:rPr>
              <w:t>/</w:t>
            </w:r>
            <w:r w:rsidRPr="00583A78">
              <w:rPr>
                <w:color w:val="000000"/>
                <w:szCs w:val="28"/>
              </w:rPr>
              <w:t>9</w:t>
            </w:r>
            <w:r w:rsidR="001D7B45" w:rsidRPr="00583A78">
              <w:rPr>
                <w:color w:val="000000"/>
                <w:szCs w:val="28"/>
              </w:rPr>
              <w:t>/2020</w:t>
            </w:r>
          </w:p>
        </w:tc>
        <w:tc>
          <w:tcPr>
            <w:tcW w:w="8525" w:type="dxa"/>
            <w:tcBorders>
              <w:top w:val="single" w:sz="4" w:space="0" w:color="auto"/>
              <w:left w:val="single" w:sz="4" w:space="0" w:color="auto"/>
              <w:bottom w:val="single" w:sz="4" w:space="0" w:color="auto"/>
              <w:right w:val="single" w:sz="4" w:space="0" w:color="auto"/>
            </w:tcBorders>
            <w:vAlign w:val="center"/>
          </w:tcPr>
          <w:p w:rsidR="001D7B45" w:rsidRPr="00583A78" w:rsidRDefault="001D7B45" w:rsidP="002C3AF5">
            <w:pPr>
              <w:jc w:val="both"/>
              <w:rPr>
                <w:color w:val="000000"/>
                <w:szCs w:val="28"/>
                <w:lang w:val="vi-VN"/>
              </w:rPr>
            </w:pPr>
            <w:r w:rsidRPr="00583A78">
              <w:rPr>
                <w:color w:val="000000"/>
                <w:szCs w:val="28"/>
              </w:rPr>
              <w:t>Thống nhất với nội dung của bản Dự thảo</w:t>
            </w:r>
          </w:p>
        </w:tc>
      </w:tr>
      <w:tr w:rsidR="001D7B45" w:rsidRPr="00583A78" w:rsidTr="005E3596">
        <w:tc>
          <w:tcPr>
            <w:tcW w:w="550" w:type="dxa"/>
            <w:tcBorders>
              <w:top w:val="single" w:sz="4" w:space="0" w:color="auto"/>
              <w:left w:val="single" w:sz="4" w:space="0" w:color="auto"/>
              <w:bottom w:val="single" w:sz="4" w:space="0" w:color="auto"/>
              <w:right w:val="single" w:sz="4" w:space="0" w:color="auto"/>
            </w:tcBorders>
            <w:vAlign w:val="center"/>
          </w:tcPr>
          <w:p w:rsidR="001D7B45" w:rsidRPr="00583A78" w:rsidRDefault="00F85BDE" w:rsidP="002C3AF5">
            <w:pPr>
              <w:jc w:val="center"/>
              <w:rPr>
                <w:szCs w:val="28"/>
              </w:rPr>
            </w:pPr>
            <w:r w:rsidRPr="00583A78">
              <w:rPr>
                <w:szCs w:val="28"/>
              </w:rPr>
              <w:t>7</w:t>
            </w:r>
          </w:p>
        </w:tc>
        <w:tc>
          <w:tcPr>
            <w:tcW w:w="1857" w:type="dxa"/>
            <w:tcBorders>
              <w:top w:val="single" w:sz="4" w:space="0" w:color="auto"/>
              <w:left w:val="single" w:sz="4" w:space="0" w:color="auto"/>
              <w:bottom w:val="single" w:sz="4" w:space="0" w:color="auto"/>
              <w:right w:val="single" w:sz="4" w:space="0" w:color="auto"/>
            </w:tcBorders>
            <w:vAlign w:val="center"/>
          </w:tcPr>
          <w:p w:rsidR="001D7B45" w:rsidRPr="00583A78" w:rsidRDefault="001D7B45" w:rsidP="002C3AF5">
            <w:pPr>
              <w:jc w:val="center"/>
              <w:rPr>
                <w:color w:val="000000"/>
                <w:szCs w:val="28"/>
              </w:rPr>
            </w:pPr>
            <w:r w:rsidRPr="00583A78">
              <w:rPr>
                <w:color w:val="000000"/>
                <w:szCs w:val="28"/>
              </w:rPr>
              <w:t>UBND huyện Tuy Đức</w:t>
            </w:r>
          </w:p>
        </w:tc>
        <w:tc>
          <w:tcPr>
            <w:tcW w:w="2127" w:type="dxa"/>
            <w:tcBorders>
              <w:top w:val="single" w:sz="4" w:space="0" w:color="auto"/>
              <w:left w:val="single" w:sz="4" w:space="0" w:color="auto"/>
              <w:bottom w:val="single" w:sz="4" w:space="0" w:color="auto"/>
              <w:right w:val="single" w:sz="4" w:space="0" w:color="auto"/>
            </w:tcBorders>
            <w:vAlign w:val="center"/>
          </w:tcPr>
          <w:p w:rsidR="001D7B45" w:rsidRPr="00583A78" w:rsidRDefault="00F85BDE" w:rsidP="002C3AF5">
            <w:pPr>
              <w:jc w:val="center"/>
              <w:rPr>
                <w:color w:val="000000"/>
                <w:szCs w:val="28"/>
              </w:rPr>
            </w:pPr>
            <w:r w:rsidRPr="00583A78">
              <w:rPr>
                <w:color w:val="000000"/>
                <w:szCs w:val="28"/>
              </w:rPr>
              <w:t>1769</w:t>
            </w:r>
            <w:r w:rsidR="001D7B45" w:rsidRPr="00583A78">
              <w:rPr>
                <w:color w:val="000000"/>
                <w:szCs w:val="28"/>
              </w:rPr>
              <w:t>/UBND-LĐTBXH</w:t>
            </w:r>
          </w:p>
        </w:tc>
        <w:tc>
          <w:tcPr>
            <w:tcW w:w="1683" w:type="dxa"/>
            <w:tcBorders>
              <w:top w:val="single" w:sz="4" w:space="0" w:color="auto"/>
              <w:left w:val="single" w:sz="4" w:space="0" w:color="auto"/>
              <w:bottom w:val="single" w:sz="4" w:space="0" w:color="auto"/>
              <w:right w:val="single" w:sz="4" w:space="0" w:color="auto"/>
            </w:tcBorders>
            <w:vAlign w:val="center"/>
          </w:tcPr>
          <w:p w:rsidR="001D7B45" w:rsidRPr="00583A78" w:rsidRDefault="00F85BDE" w:rsidP="002C3AF5">
            <w:pPr>
              <w:jc w:val="center"/>
              <w:rPr>
                <w:color w:val="000000"/>
                <w:szCs w:val="28"/>
              </w:rPr>
            </w:pPr>
            <w:r w:rsidRPr="00583A78">
              <w:rPr>
                <w:color w:val="000000"/>
                <w:szCs w:val="28"/>
              </w:rPr>
              <w:t>28</w:t>
            </w:r>
            <w:r w:rsidR="001D7B45" w:rsidRPr="00583A78">
              <w:rPr>
                <w:color w:val="000000"/>
                <w:szCs w:val="28"/>
              </w:rPr>
              <w:t>/</w:t>
            </w:r>
            <w:r w:rsidRPr="00583A78">
              <w:rPr>
                <w:color w:val="000000"/>
                <w:szCs w:val="28"/>
              </w:rPr>
              <w:t>9</w:t>
            </w:r>
            <w:r w:rsidR="001D7B45" w:rsidRPr="00583A78">
              <w:rPr>
                <w:color w:val="000000"/>
                <w:szCs w:val="28"/>
              </w:rPr>
              <w:t>/2020</w:t>
            </w:r>
          </w:p>
        </w:tc>
        <w:tc>
          <w:tcPr>
            <w:tcW w:w="8525" w:type="dxa"/>
            <w:tcBorders>
              <w:top w:val="single" w:sz="4" w:space="0" w:color="auto"/>
              <w:left w:val="single" w:sz="4" w:space="0" w:color="auto"/>
              <w:bottom w:val="single" w:sz="4" w:space="0" w:color="auto"/>
              <w:right w:val="single" w:sz="4" w:space="0" w:color="auto"/>
            </w:tcBorders>
            <w:vAlign w:val="center"/>
          </w:tcPr>
          <w:p w:rsidR="001D7B45" w:rsidRPr="00583A78" w:rsidRDefault="001D7B45" w:rsidP="002C3AF5">
            <w:pPr>
              <w:jc w:val="both"/>
              <w:rPr>
                <w:color w:val="000000"/>
                <w:szCs w:val="28"/>
                <w:lang w:val="vi-VN"/>
              </w:rPr>
            </w:pPr>
            <w:r w:rsidRPr="00583A78">
              <w:rPr>
                <w:color w:val="000000"/>
                <w:szCs w:val="28"/>
              </w:rPr>
              <w:t>Thống nhất với nội dung của bản Dự thảo</w:t>
            </w:r>
          </w:p>
        </w:tc>
      </w:tr>
      <w:tr w:rsidR="001D7B45" w:rsidRPr="00583A78" w:rsidTr="005E3596">
        <w:tc>
          <w:tcPr>
            <w:tcW w:w="550" w:type="dxa"/>
            <w:tcBorders>
              <w:top w:val="single" w:sz="4" w:space="0" w:color="auto"/>
              <w:left w:val="single" w:sz="4" w:space="0" w:color="auto"/>
              <w:bottom w:val="single" w:sz="4" w:space="0" w:color="auto"/>
              <w:right w:val="single" w:sz="4" w:space="0" w:color="auto"/>
            </w:tcBorders>
            <w:vAlign w:val="center"/>
            <w:hideMark/>
          </w:tcPr>
          <w:p w:rsidR="001D7B45" w:rsidRPr="00583A78" w:rsidRDefault="00F85BDE" w:rsidP="002C3AF5">
            <w:pPr>
              <w:jc w:val="center"/>
              <w:rPr>
                <w:szCs w:val="28"/>
              </w:rPr>
            </w:pPr>
            <w:r w:rsidRPr="00583A78">
              <w:rPr>
                <w:szCs w:val="28"/>
              </w:rPr>
              <w:t>8</w:t>
            </w:r>
          </w:p>
        </w:tc>
        <w:tc>
          <w:tcPr>
            <w:tcW w:w="1857" w:type="dxa"/>
            <w:tcBorders>
              <w:top w:val="single" w:sz="4" w:space="0" w:color="auto"/>
              <w:left w:val="single" w:sz="4" w:space="0" w:color="auto"/>
              <w:bottom w:val="single" w:sz="4" w:space="0" w:color="auto"/>
              <w:right w:val="single" w:sz="4" w:space="0" w:color="auto"/>
            </w:tcBorders>
            <w:vAlign w:val="center"/>
            <w:hideMark/>
          </w:tcPr>
          <w:p w:rsidR="001D7B45" w:rsidRPr="00583A78" w:rsidRDefault="001D7B45" w:rsidP="002C3AF5">
            <w:pPr>
              <w:jc w:val="center"/>
              <w:rPr>
                <w:color w:val="000000"/>
                <w:szCs w:val="28"/>
              </w:rPr>
            </w:pPr>
            <w:r w:rsidRPr="00583A78">
              <w:rPr>
                <w:color w:val="000000"/>
                <w:szCs w:val="28"/>
              </w:rPr>
              <w:t>Phòng LĐTBXH huyện Cư Jút</w:t>
            </w:r>
          </w:p>
        </w:tc>
        <w:tc>
          <w:tcPr>
            <w:tcW w:w="2127" w:type="dxa"/>
            <w:tcBorders>
              <w:top w:val="single" w:sz="4" w:space="0" w:color="auto"/>
              <w:left w:val="single" w:sz="4" w:space="0" w:color="auto"/>
              <w:bottom w:val="single" w:sz="4" w:space="0" w:color="auto"/>
              <w:right w:val="single" w:sz="4" w:space="0" w:color="auto"/>
            </w:tcBorders>
            <w:vAlign w:val="center"/>
            <w:hideMark/>
          </w:tcPr>
          <w:p w:rsidR="001D7B45" w:rsidRPr="00583A78" w:rsidRDefault="001D7B45" w:rsidP="002C3AF5">
            <w:pPr>
              <w:jc w:val="center"/>
              <w:rPr>
                <w:color w:val="000000"/>
                <w:szCs w:val="28"/>
              </w:rPr>
            </w:pPr>
            <w:r w:rsidRPr="00583A78">
              <w:rPr>
                <w:color w:val="000000"/>
                <w:szCs w:val="28"/>
              </w:rPr>
              <w:t>115/LĐTBXH-LĐVL</w:t>
            </w:r>
          </w:p>
        </w:tc>
        <w:tc>
          <w:tcPr>
            <w:tcW w:w="1683" w:type="dxa"/>
            <w:tcBorders>
              <w:top w:val="single" w:sz="4" w:space="0" w:color="auto"/>
              <w:left w:val="single" w:sz="4" w:space="0" w:color="auto"/>
              <w:bottom w:val="single" w:sz="4" w:space="0" w:color="auto"/>
              <w:right w:val="single" w:sz="4" w:space="0" w:color="auto"/>
            </w:tcBorders>
            <w:vAlign w:val="center"/>
            <w:hideMark/>
          </w:tcPr>
          <w:p w:rsidR="001D7B45" w:rsidRPr="00583A78" w:rsidRDefault="001D7B45" w:rsidP="002C3AF5">
            <w:pPr>
              <w:jc w:val="center"/>
              <w:rPr>
                <w:color w:val="000000"/>
                <w:szCs w:val="28"/>
              </w:rPr>
            </w:pPr>
            <w:r w:rsidRPr="00583A78">
              <w:rPr>
                <w:color w:val="000000"/>
                <w:szCs w:val="28"/>
              </w:rPr>
              <w:t>29/6/2020</w:t>
            </w:r>
          </w:p>
        </w:tc>
        <w:tc>
          <w:tcPr>
            <w:tcW w:w="8525" w:type="dxa"/>
            <w:tcBorders>
              <w:top w:val="single" w:sz="4" w:space="0" w:color="auto"/>
              <w:left w:val="single" w:sz="4" w:space="0" w:color="auto"/>
              <w:bottom w:val="single" w:sz="4" w:space="0" w:color="auto"/>
              <w:right w:val="single" w:sz="4" w:space="0" w:color="auto"/>
            </w:tcBorders>
            <w:vAlign w:val="center"/>
            <w:hideMark/>
          </w:tcPr>
          <w:p w:rsidR="001D7B45" w:rsidRPr="00583A78" w:rsidRDefault="001D7B45" w:rsidP="002C3AF5">
            <w:pPr>
              <w:jc w:val="both"/>
              <w:rPr>
                <w:color w:val="000000"/>
                <w:szCs w:val="28"/>
              </w:rPr>
            </w:pPr>
            <w:r w:rsidRPr="00583A78">
              <w:rPr>
                <w:color w:val="000000"/>
                <w:szCs w:val="28"/>
              </w:rPr>
              <w:t>Thống nhất với nội dung của bản Dự thảo</w:t>
            </w:r>
          </w:p>
        </w:tc>
      </w:tr>
    </w:tbl>
    <w:p w:rsidR="006F635C" w:rsidRPr="00583A78" w:rsidRDefault="006F635C" w:rsidP="002C3AF5">
      <w:pPr>
        <w:rPr>
          <w:szCs w:val="28"/>
        </w:rPr>
      </w:pPr>
    </w:p>
    <w:sectPr w:rsidR="006F635C" w:rsidRPr="00583A78" w:rsidSect="00BC3F44">
      <w:footerReference w:type="default" r:id="rId10"/>
      <w:pgSz w:w="15840" w:h="12240" w:orient="landscape"/>
      <w:pgMar w:top="510" w:right="454" w:bottom="301" w:left="51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5B7" w:rsidRDefault="00CB45B7" w:rsidP="0070755F">
      <w:r>
        <w:separator/>
      </w:r>
    </w:p>
  </w:endnote>
  <w:endnote w:type="continuationSeparator" w:id="0">
    <w:p w:rsidR="00CB45B7" w:rsidRDefault="00CB45B7" w:rsidP="0070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214518"/>
      <w:docPartObj>
        <w:docPartGallery w:val="Page Numbers (Bottom of Page)"/>
        <w:docPartUnique/>
      </w:docPartObj>
    </w:sdtPr>
    <w:sdtEndPr>
      <w:rPr>
        <w:noProof/>
      </w:rPr>
    </w:sdtEndPr>
    <w:sdtContent>
      <w:p w:rsidR="0070755F" w:rsidRDefault="0070755F">
        <w:pPr>
          <w:pStyle w:val="Footer"/>
          <w:jc w:val="center"/>
        </w:pPr>
      </w:p>
      <w:p w:rsidR="00BC3F44" w:rsidRDefault="00BC3F44">
        <w:pPr>
          <w:pStyle w:val="Footer"/>
          <w:jc w:val="center"/>
        </w:pPr>
      </w:p>
      <w:p w:rsidR="0070755F" w:rsidRDefault="0070755F">
        <w:pPr>
          <w:pStyle w:val="Footer"/>
          <w:jc w:val="center"/>
        </w:pPr>
        <w:r>
          <w:fldChar w:fldCharType="begin"/>
        </w:r>
        <w:r>
          <w:instrText xml:space="preserve"> PAGE   \* MERGEFORMAT </w:instrText>
        </w:r>
        <w:r>
          <w:fldChar w:fldCharType="separate"/>
        </w:r>
        <w:r w:rsidR="00F216CC">
          <w:rPr>
            <w:noProof/>
          </w:rPr>
          <w:t>1</w:t>
        </w:r>
        <w:r>
          <w:rPr>
            <w:noProof/>
          </w:rPr>
          <w:fldChar w:fldCharType="end"/>
        </w:r>
      </w:p>
    </w:sdtContent>
  </w:sdt>
  <w:p w:rsidR="0070755F" w:rsidRDefault="00707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5B7" w:rsidRDefault="00CB45B7" w:rsidP="0070755F">
      <w:r>
        <w:separator/>
      </w:r>
    </w:p>
  </w:footnote>
  <w:footnote w:type="continuationSeparator" w:id="0">
    <w:p w:rsidR="00CB45B7" w:rsidRDefault="00CB45B7" w:rsidP="00707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56100"/>
    <w:multiLevelType w:val="hybridMultilevel"/>
    <w:tmpl w:val="33F8306E"/>
    <w:lvl w:ilvl="0" w:tplc="2B7453B8">
      <w:start w:val="1"/>
      <w:numFmt w:val="bullet"/>
      <w:lvlText w:val="-"/>
      <w:lvlJc w:val="left"/>
      <w:pPr>
        <w:ind w:left="907" w:hanging="360"/>
      </w:pPr>
      <w:rPr>
        <w:rFonts w:ascii="Times New Roman" w:eastAsia="Times New Roman" w:hAnsi="Times New Roman" w:cs="Times New Roman"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1">
    <w:nsid w:val="2A070885"/>
    <w:multiLevelType w:val="hybridMultilevel"/>
    <w:tmpl w:val="335E110A"/>
    <w:lvl w:ilvl="0" w:tplc="DED2E1CE">
      <w:start w:val="1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9654B8"/>
    <w:multiLevelType w:val="hybridMultilevel"/>
    <w:tmpl w:val="E13A3050"/>
    <w:lvl w:ilvl="0" w:tplc="B096EB92">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
    <w:nsid w:val="4F083EA6"/>
    <w:multiLevelType w:val="hybridMultilevel"/>
    <w:tmpl w:val="6D221C84"/>
    <w:lvl w:ilvl="0" w:tplc="D0E455A0">
      <w:start w:val="11"/>
      <w:numFmt w:val="bullet"/>
      <w:lvlText w:val="-"/>
      <w:lvlJc w:val="left"/>
      <w:pPr>
        <w:ind w:left="720" w:hanging="360"/>
      </w:pPr>
      <w:rPr>
        <w:rFonts w:ascii="TimesNewRoman" w:eastAsia="Times New Roman"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5C5EEC"/>
    <w:multiLevelType w:val="hybridMultilevel"/>
    <w:tmpl w:val="12A8FFE2"/>
    <w:lvl w:ilvl="0" w:tplc="D80A7F6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3E6C61"/>
    <w:multiLevelType w:val="hybridMultilevel"/>
    <w:tmpl w:val="05027102"/>
    <w:lvl w:ilvl="0" w:tplc="74FEC520">
      <w:start w:val="1"/>
      <w:numFmt w:val="decimal"/>
      <w:lvlText w:val="%1."/>
      <w:lvlJc w:val="left"/>
      <w:pPr>
        <w:ind w:left="1729" w:hanging="10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6">
    <w:nsid w:val="5ED84ECD"/>
    <w:multiLevelType w:val="hybridMultilevel"/>
    <w:tmpl w:val="9E9A0300"/>
    <w:lvl w:ilvl="0" w:tplc="7D1E51FC">
      <w:start w:val="11"/>
      <w:numFmt w:val="bullet"/>
      <w:lvlText w:val="-"/>
      <w:lvlJc w:val="left"/>
      <w:pPr>
        <w:ind w:left="720" w:hanging="360"/>
      </w:pPr>
      <w:rPr>
        <w:rFonts w:ascii="TimesNewRoman" w:eastAsia="Times New Roman"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A2"/>
    <w:rsid w:val="0001115C"/>
    <w:rsid w:val="00015C88"/>
    <w:rsid w:val="00020B7F"/>
    <w:rsid w:val="000229B9"/>
    <w:rsid w:val="00027A27"/>
    <w:rsid w:val="0004462B"/>
    <w:rsid w:val="00092D5C"/>
    <w:rsid w:val="000B3E13"/>
    <w:rsid w:val="00120B58"/>
    <w:rsid w:val="00131966"/>
    <w:rsid w:val="00144B94"/>
    <w:rsid w:val="00144F1D"/>
    <w:rsid w:val="00145AD0"/>
    <w:rsid w:val="001A4677"/>
    <w:rsid w:val="001A691A"/>
    <w:rsid w:val="001B1990"/>
    <w:rsid w:val="001B1ECB"/>
    <w:rsid w:val="001D05FC"/>
    <w:rsid w:val="001D08C5"/>
    <w:rsid w:val="001D326E"/>
    <w:rsid w:val="001D5A36"/>
    <w:rsid w:val="001D7B45"/>
    <w:rsid w:val="001E79AF"/>
    <w:rsid w:val="00203269"/>
    <w:rsid w:val="00204A38"/>
    <w:rsid w:val="00207E67"/>
    <w:rsid w:val="00246D86"/>
    <w:rsid w:val="0025034F"/>
    <w:rsid w:val="002528F3"/>
    <w:rsid w:val="00255BC2"/>
    <w:rsid w:val="0027606E"/>
    <w:rsid w:val="0028281E"/>
    <w:rsid w:val="00286F0A"/>
    <w:rsid w:val="002A4444"/>
    <w:rsid w:val="002B4DED"/>
    <w:rsid w:val="002B6B27"/>
    <w:rsid w:val="002C38F8"/>
    <w:rsid w:val="002C3AF5"/>
    <w:rsid w:val="002C4174"/>
    <w:rsid w:val="00302CE7"/>
    <w:rsid w:val="00310EBD"/>
    <w:rsid w:val="00354F31"/>
    <w:rsid w:val="003575AD"/>
    <w:rsid w:val="0036158F"/>
    <w:rsid w:val="0037048E"/>
    <w:rsid w:val="00377CAE"/>
    <w:rsid w:val="0038676C"/>
    <w:rsid w:val="00396B4B"/>
    <w:rsid w:val="003C0FD2"/>
    <w:rsid w:val="003E282A"/>
    <w:rsid w:val="003F04F2"/>
    <w:rsid w:val="003F116D"/>
    <w:rsid w:val="004168AB"/>
    <w:rsid w:val="00426E6A"/>
    <w:rsid w:val="004320E0"/>
    <w:rsid w:val="00472E6C"/>
    <w:rsid w:val="00482C35"/>
    <w:rsid w:val="004D6353"/>
    <w:rsid w:val="004E6E35"/>
    <w:rsid w:val="0050059D"/>
    <w:rsid w:val="00532594"/>
    <w:rsid w:val="00557E1B"/>
    <w:rsid w:val="005666C7"/>
    <w:rsid w:val="005679A0"/>
    <w:rsid w:val="00583A78"/>
    <w:rsid w:val="005870ED"/>
    <w:rsid w:val="005A347D"/>
    <w:rsid w:val="005A63C2"/>
    <w:rsid w:val="005D71B5"/>
    <w:rsid w:val="005E1F4E"/>
    <w:rsid w:val="005E4090"/>
    <w:rsid w:val="005F38A5"/>
    <w:rsid w:val="005F38C3"/>
    <w:rsid w:val="0062378E"/>
    <w:rsid w:val="00623877"/>
    <w:rsid w:val="00680855"/>
    <w:rsid w:val="006A136B"/>
    <w:rsid w:val="006A5CC9"/>
    <w:rsid w:val="006A602E"/>
    <w:rsid w:val="006E1AB5"/>
    <w:rsid w:val="006E3644"/>
    <w:rsid w:val="006F635C"/>
    <w:rsid w:val="0070755F"/>
    <w:rsid w:val="00722DDD"/>
    <w:rsid w:val="00724004"/>
    <w:rsid w:val="00755C09"/>
    <w:rsid w:val="00762FCF"/>
    <w:rsid w:val="007659B0"/>
    <w:rsid w:val="007D54C0"/>
    <w:rsid w:val="00804FCA"/>
    <w:rsid w:val="00811743"/>
    <w:rsid w:val="00817E98"/>
    <w:rsid w:val="008221A2"/>
    <w:rsid w:val="008411CD"/>
    <w:rsid w:val="00855190"/>
    <w:rsid w:val="00891E30"/>
    <w:rsid w:val="00897559"/>
    <w:rsid w:val="008A0468"/>
    <w:rsid w:val="008A0B38"/>
    <w:rsid w:val="008D0316"/>
    <w:rsid w:val="008F0DC0"/>
    <w:rsid w:val="00912570"/>
    <w:rsid w:val="00920021"/>
    <w:rsid w:val="00926BA7"/>
    <w:rsid w:val="00933B5E"/>
    <w:rsid w:val="00936C17"/>
    <w:rsid w:val="00940A46"/>
    <w:rsid w:val="009731C4"/>
    <w:rsid w:val="00983C18"/>
    <w:rsid w:val="009E6B9E"/>
    <w:rsid w:val="009F341D"/>
    <w:rsid w:val="009F5876"/>
    <w:rsid w:val="00A17EC4"/>
    <w:rsid w:val="00A26B15"/>
    <w:rsid w:val="00A337CB"/>
    <w:rsid w:val="00A510D4"/>
    <w:rsid w:val="00A93389"/>
    <w:rsid w:val="00A95573"/>
    <w:rsid w:val="00AA6AB9"/>
    <w:rsid w:val="00AB1834"/>
    <w:rsid w:val="00AB50A6"/>
    <w:rsid w:val="00AC6F48"/>
    <w:rsid w:val="00AD72BA"/>
    <w:rsid w:val="00B00C68"/>
    <w:rsid w:val="00B37695"/>
    <w:rsid w:val="00B516B4"/>
    <w:rsid w:val="00B62BDA"/>
    <w:rsid w:val="00B71AC6"/>
    <w:rsid w:val="00B97237"/>
    <w:rsid w:val="00BA3496"/>
    <w:rsid w:val="00BA43D3"/>
    <w:rsid w:val="00BC3F44"/>
    <w:rsid w:val="00BD7EC4"/>
    <w:rsid w:val="00BE0B2D"/>
    <w:rsid w:val="00BF13A3"/>
    <w:rsid w:val="00BF353C"/>
    <w:rsid w:val="00C2315A"/>
    <w:rsid w:val="00C6323F"/>
    <w:rsid w:val="00C64286"/>
    <w:rsid w:val="00C85F3C"/>
    <w:rsid w:val="00C95A92"/>
    <w:rsid w:val="00CA16CF"/>
    <w:rsid w:val="00CB45B7"/>
    <w:rsid w:val="00CD4167"/>
    <w:rsid w:val="00CD5859"/>
    <w:rsid w:val="00CF00E1"/>
    <w:rsid w:val="00CF0762"/>
    <w:rsid w:val="00D14F68"/>
    <w:rsid w:val="00D15872"/>
    <w:rsid w:val="00D159ED"/>
    <w:rsid w:val="00D50C12"/>
    <w:rsid w:val="00D6277F"/>
    <w:rsid w:val="00D65E65"/>
    <w:rsid w:val="00D73AD1"/>
    <w:rsid w:val="00D86023"/>
    <w:rsid w:val="00DA0E3E"/>
    <w:rsid w:val="00DB1999"/>
    <w:rsid w:val="00DD1C33"/>
    <w:rsid w:val="00DD49C6"/>
    <w:rsid w:val="00DF1C4F"/>
    <w:rsid w:val="00DF7C5A"/>
    <w:rsid w:val="00E00E29"/>
    <w:rsid w:val="00E057A0"/>
    <w:rsid w:val="00E2077F"/>
    <w:rsid w:val="00E23C93"/>
    <w:rsid w:val="00E65828"/>
    <w:rsid w:val="00E6743C"/>
    <w:rsid w:val="00E85A47"/>
    <w:rsid w:val="00EA3D5B"/>
    <w:rsid w:val="00EB3C87"/>
    <w:rsid w:val="00EC607E"/>
    <w:rsid w:val="00EC7DFC"/>
    <w:rsid w:val="00ED3AF8"/>
    <w:rsid w:val="00EE0E31"/>
    <w:rsid w:val="00EE2CB4"/>
    <w:rsid w:val="00EE42F1"/>
    <w:rsid w:val="00EF44A8"/>
    <w:rsid w:val="00F071D1"/>
    <w:rsid w:val="00F16BA2"/>
    <w:rsid w:val="00F20577"/>
    <w:rsid w:val="00F216CC"/>
    <w:rsid w:val="00F3016D"/>
    <w:rsid w:val="00F67802"/>
    <w:rsid w:val="00F74CBF"/>
    <w:rsid w:val="00F8156B"/>
    <w:rsid w:val="00F85BDE"/>
    <w:rsid w:val="00F94457"/>
    <w:rsid w:val="00F96167"/>
    <w:rsid w:val="00FA2CD4"/>
    <w:rsid w:val="00FB564E"/>
    <w:rsid w:val="00FC27DC"/>
    <w:rsid w:val="00FE3656"/>
    <w:rsid w:val="00FF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1A2"/>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6C"/>
    <w:pPr>
      <w:ind w:left="720"/>
      <w:contextualSpacing/>
    </w:pPr>
  </w:style>
  <w:style w:type="paragraph" w:styleId="Header">
    <w:name w:val="header"/>
    <w:basedOn w:val="Normal"/>
    <w:link w:val="HeaderChar"/>
    <w:uiPriority w:val="99"/>
    <w:unhideWhenUsed/>
    <w:rsid w:val="0070755F"/>
    <w:pPr>
      <w:tabs>
        <w:tab w:val="center" w:pos="4680"/>
        <w:tab w:val="right" w:pos="9360"/>
      </w:tabs>
    </w:pPr>
  </w:style>
  <w:style w:type="character" w:customStyle="1" w:styleId="HeaderChar">
    <w:name w:val="Header Char"/>
    <w:basedOn w:val="DefaultParagraphFont"/>
    <w:link w:val="Header"/>
    <w:uiPriority w:val="99"/>
    <w:rsid w:val="0070755F"/>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70755F"/>
    <w:pPr>
      <w:tabs>
        <w:tab w:val="center" w:pos="4680"/>
        <w:tab w:val="right" w:pos="9360"/>
      </w:tabs>
    </w:pPr>
  </w:style>
  <w:style w:type="character" w:customStyle="1" w:styleId="FooterChar">
    <w:name w:val="Footer Char"/>
    <w:basedOn w:val="DefaultParagraphFont"/>
    <w:link w:val="Footer"/>
    <w:uiPriority w:val="99"/>
    <w:rsid w:val="0070755F"/>
    <w:rPr>
      <w:rFonts w:ascii="Times New Roman" w:eastAsia="Times New Roman" w:hAnsi="Times New Roman" w:cs="Times New Roman"/>
      <w:sz w:val="28"/>
      <w:szCs w:val="24"/>
    </w:rPr>
  </w:style>
  <w:style w:type="character" w:styleId="Hyperlink">
    <w:name w:val="Hyperlink"/>
    <w:basedOn w:val="DefaultParagraphFont"/>
    <w:uiPriority w:val="99"/>
    <w:semiHidden/>
    <w:unhideWhenUsed/>
    <w:rsid w:val="006238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1A2"/>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6C"/>
    <w:pPr>
      <w:ind w:left="720"/>
      <w:contextualSpacing/>
    </w:pPr>
  </w:style>
  <w:style w:type="paragraph" w:styleId="Header">
    <w:name w:val="header"/>
    <w:basedOn w:val="Normal"/>
    <w:link w:val="HeaderChar"/>
    <w:uiPriority w:val="99"/>
    <w:unhideWhenUsed/>
    <w:rsid w:val="0070755F"/>
    <w:pPr>
      <w:tabs>
        <w:tab w:val="center" w:pos="4680"/>
        <w:tab w:val="right" w:pos="9360"/>
      </w:tabs>
    </w:pPr>
  </w:style>
  <w:style w:type="character" w:customStyle="1" w:styleId="HeaderChar">
    <w:name w:val="Header Char"/>
    <w:basedOn w:val="DefaultParagraphFont"/>
    <w:link w:val="Header"/>
    <w:uiPriority w:val="99"/>
    <w:rsid w:val="0070755F"/>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70755F"/>
    <w:pPr>
      <w:tabs>
        <w:tab w:val="center" w:pos="4680"/>
        <w:tab w:val="right" w:pos="9360"/>
      </w:tabs>
    </w:pPr>
  </w:style>
  <w:style w:type="character" w:customStyle="1" w:styleId="FooterChar">
    <w:name w:val="Footer Char"/>
    <w:basedOn w:val="DefaultParagraphFont"/>
    <w:link w:val="Footer"/>
    <w:uiPriority w:val="99"/>
    <w:rsid w:val="0070755F"/>
    <w:rPr>
      <w:rFonts w:ascii="Times New Roman" w:eastAsia="Times New Roman" w:hAnsi="Times New Roman" w:cs="Times New Roman"/>
      <w:sz w:val="28"/>
      <w:szCs w:val="24"/>
    </w:rPr>
  </w:style>
  <w:style w:type="character" w:styleId="Hyperlink">
    <w:name w:val="Hyperlink"/>
    <w:basedOn w:val="DefaultParagraphFont"/>
    <w:uiPriority w:val="99"/>
    <w:semiHidden/>
    <w:unhideWhenUsed/>
    <w:rsid w:val="006238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61120">
      <w:bodyDiv w:val="1"/>
      <w:marLeft w:val="0"/>
      <w:marRight w:val="0"/>
      <w:marTop w:val="0"/>
      <w:marBottom w:val="0"/>
      <w:divBdr>
        <w:top w:val="none" w:sz="0" w:space="0" w:color="auto"/>
        <w:left w:val="none" w:sz="0" w:space="0" w:color="auto"/>
        <w:bottom w:val="none" w:sz="0" w:space="0" w:color="auto"/>
        <w:right w:val="none" w:sz="0" w:space="0" w:color="auto"/>
      </w:divBdr>
    </w:div>
    <w:div w:id="629166196">
      <w:bodyDiv w:val="1"/>
      <w:marLeft w:val="0"/>
      <w:marRight w:val="0"/>
      <w:marTop w:val="0"/>
      <w:marBottom w:val="0"/>
      <w:divBdr>
        <w:top w:val="none" w:sz="0" w:space="0" w:color="auto"/>
        <w:left w:val="none" w:sz="0" w:space="0" w:color="auto"/>
        <w:bottom w:val="none" w:sz="0" w:space="0" w:color="auto"/>
        <w:right w:val="none" w:sz="0" w:space="0" w:color="auto"/>
      </w:divBdr>
    </w:div>
    <w:div w:id="1438481915">
      <w:bodyDiv w:val="1"/>
      <w:marLeft w:val="0"/>
      <w:marRight w:val="0"/>
      <w:marTop w:val="0"/>
      <w:marBottom w:val="0"/>
      <w:divBdr>
        <w:top w:val="none" w:sz="0" w:space="0" w:color="auto"/>
        <w:left w:val="none" w:sz="0" w:space="0" w:color="auto"/>
        <w:bottom w:val="none" w:sz="0" w:space="0" w:color="auto"/>
        <w:right w:val="none" w:sz="0" w:space="0" w:color="auto"/>
      </w:divBdr>
    </w:div>
    <w:div w:id="182165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hethongphapluat.com/docs/go/44621bf3b22ad053945fd77b76e2af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58C2B-B95C-4977-A06E-204FEEBB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3301</Words>
  <Characters>18821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DongNT</dc:creator>
  <cp:lastModifiedBy>AutoBVT</cp:lastModifiedBy>
  <cp:revision>2</cp:revision>
  <dcterms:created xsi:type="dcterms:W3CDTF">2020-11-10T07:20:00Z</dcterms:created>
  <dcterms:modified xsi:type="dcterms:W3CDTF">2020-11-10T07:20:00Z</dcterms:modified>
</cp:coreProperties>
</file>